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9" w:name="X2520028120daef718f187386252bf2e7174c516"/>
    <w:p>
      <w:pPr>
        <w:pStyle w:val="Heading1"/>
      </w:pPr>
      <w:r>
        <w:rPr>
          <w:lang w:val="en"/>
        </w:rPr>
        <w:t xml:space="preserve">Standards crosswalk for worker-built apps</w:t>
      </w:r>
    </w:p>
    <w:p>
      <w:pPr>
        <w:pStyle w:val="FirstParagraph"/>
      </w:pPr>
      <w:hyperlink r:id="rId9">
        <w:r>
          <w:rPr>
            <w:rStyle w:val="Hyperlink"/>
            <w:lang w:val="en"/>
          </w:rPr>
          <w:t xml:space="preserve">https://prompt-to-prototype.com/governance/standards/</w:t>
        </w:r>
      </w:hyperlink>
      <w:r>
        <w:rPr>
          <w:lang w:val="en"/>
        </w:rPr>
        <w:t xml:space="preserve"> </w:t>
      </w:r>
      <w:r>
        <w:rPr>
          <w:lang w:val="en"/>
        </w:rPr>
        <w:t xml:space="preserve">· as of 2026-10-22</w:t>
      </w:r>
    </w:p>
    <w:p>
      <w:pPr>
        <w:pStyle w:val="BodyText"/>
      </w:pPr>
      <w:r>
        <w:rPr>
          <w:lang w:val="en"/>
        </w:rPr>
        <w:t xml:space="preserve">Use ISO/IEC 42001 or the NIST AI RMF for AI governance, and the security frameworks you already run for the controls. In practice that means NIST CSF 2.0, SOC 2, ISO/IEC 27001 and PCI DSS 4.0.1 for controls, plus build-security standards for the apps themselves: SSDF, SLSA, the OWASP Citizen Development, LLM and Agentic Top 10s, MCP security practices, and WCAG 2.2 for accessibility. None of them can be "complied with" by reading this site. The crosswalk maps each one to a lifecycle stage and the page that implements it, as of October 2026.</w:t>
      </w:r>
    </w:p>
    <w:p>
      <w:pPr>
        <w:pStyle w:val="BodyText"/>
      </w:pPr>
      <w:r>
        <w:rPr>
          <w:b/>
          <w:bCs/>
          <w:lang w:val="en"/>
        </w:rPr>
        <w:t xml:space="preserve">Who this is for</w:t>
      </w:r>
    </w:p>
    <w:p>
      <w:pPr>
        <w:pStyle w:val="BodyText"/>
      </w:pPr>
      <w:r>
        <w:rPr>
          <w:lang w:val="en"/>
        </w:rPr>
        <w:t xml:space="preserve">Security and compliance leads, auditors, and platform engineers who need to show which existing controls cover worker-built apps. About 12 minutes.</w:t>
      </w:r>
    </w:p>
    <w:p>
      <w:pPr>
        <w:pStyle w:val="BodyText"/>
      </w:pPr>
      <w:r>
        <w:rPr>
          <w:b/>
          <w:bCs/>
          <w:lang w:val="en"/>
        </w:rPr>
        <w:t xml:space="preserve">Not legal advice</w:t>
      </w:r>
    </w:p>
    <w:p>
      <w:pPr>
        <w:pStyle w:val="BodyText"/>
      </w:pPr>
      <w:r>
        <w:rPr>
          <w:lang w:val="en"/>
        </w:rPr>
        <w:t xml:space="preserve">Not legal advice. This page summarizes standards and frameworks as of October 2026 for a general audience; frameworks aren't law, and the laws that apply are on</w:t>
      </w:r>
      <w:r>
        <w:rPr>
          <w:lang w:val="en"/>
        </w:rPr>
        <w:t xml:space="preserve"> </w:t>
      </w:r>
      <w:hyperlink r:id="rId10">
        <w:r>
          <w:rPr>
            <w:rStyle w:val="Hyperlink"/>
            <w:lang w:val="en"/>
          </w:rPr>
          <w:t xml:space="preserve">US and Canadian laws for AI-built apps</w:t>
        </w:r>
      </w:hyperlink>
      <w:r>
        <w:rPr>
          <w:lang w:val="en"/>
        </w:rPr>
        <w:t xml:space="preserve">. It was written with an AI legal-research persona and hasn't been reviewed by a lawyer for your situation. Ask your counsel.</w:t>
      </w:r>
    </w:p>
    <w:bookmarkStart w:id="12" w:name="how-do-these-standards-fit-together"/>
    <w:p>
      <w:pPr>
        <w:pStyle w:val="Heading2"/>
      </w:pPr>
      <w:r>
        <w:rPr>
          <w:lang w:val="en"/>
        </w:rPr>
        <w:t xml:space="preserve">How do these standards fit together?</w:t>
      </w:r>
    </w:p>
    <w:p>
      <w:pPr>
        <w:pStyle w:val="FirstParagraph"/>
      </w:pPr>
      <w:r>
        <w:rPr>
          <w:lang w:val="en"/>
        </w:rPr>
        <w:t xml:space="preserve">They answer different questions, so you need a few of them, not one.</w:t>
      </w:r>
    </w:p>
    <w:p>
      <w:pPr>
        <w:pStyle w:val="Compact"/>
        <w:numPr>
          <w:ilvl w:val="0"/>
          <w:numId w:val="1001"/>
        </w:numPr>
      </w:pPr>
      <w:r>
        <w:rPr>
          <w:lang w:val="en"/>
        </w:rPr>
        <w:t xml:space="preserve">The governance shell: the NIST AI RMF or ISO/IEC 42001 gives you policy, roles, risk tolerance and impact assessment. Both describe outcomes and management processes; neither is a control checklist.</w:t>
      </w:r>
    </w:p>
    <w:p>
      <w:pPr>
        <w:pStyle w:val="Compact"/>
        <w:numPr>
          <w:ilvl w:val="0"/>
          <w:numId w:val="1001"/>
        </w:numPr>
      </w:pPr>
      <w:r>
        <w:rPr>
          <w:lang w:val="en"/>
        </w:rPr>
        <w:t xml:space="preserve">The controls you already run: NIST CSF 2.0, ISO/IEC 27001, SOC 2 and PCI DSS already cover inventory, access, change, vendors and incidents. Worker-built apps belong inside those controls, not in a parallel set.</w:t>
      </w:r>
    </w:p>
    <w:p>
      <w:pPr>
        <w:pStyle w:val="Compact"/>
        <w:numPr>
          <w:ilvl w:val="0"/>
          <w:numId w:val="1001"/>
        </w:numPr>
      </w:pPr>
      <w:r>
        <w:rPr>
          <w:lang w:val="en"/>
        </w:rPr>
        <w:t xml:space="preserve">The secure build: the SSDF and SLSA set the practices and supply-chain levels for any app, AI-built or not. The OpenSSF guide covers how builders instruct coding assistants. The OWASP Citizen Development Top 10 is the risk list for worker-built apps.</w:t>
      </w:r>
    </w:p>
    <w:p>
      <w:pPr>
        <w:pStyle w:val="Compact"/>
        <w:numPr>
          <w:ilvl w:val="0"/>
          <w:numId w:val="1001"/>
        </w:numPr>
      </w:pPr>
      <w:r>
        <w:rPr>
          <w:lang w:val="en"/>
        </w:rPr>
        <w:t xml:space="preserve">AI features and agents only: the OWASP LLM and Agentic Top 10s and the MCP security practices apply when an app</w:t>
      </w:r>
      <w:r>
        <w:rPr>
          <w:lang w:val="en"/>
        </w:rPr>
        <w:t xml:space="preserve"> </w:t>
      </w:r>
      <w:r>
        <w:rPr>
          <w:b/>
          <w:bCs/>
          <w:lang w:val="en"/>
        </w:rPr>
        <w:t xml:space="preserve">contains</w:t>
      </w:r>
      <w:r>
        <w:rPr>
          <w:lang w:val="en"/>
        </w:rPr>
        <w:t xml:space="preserve"> </w:t>
      </w:r>
      <w:r>
        <w:rPr>
          <w:lang w:val="en"/>
        </w:rPr>
        <w:t xml:space="preserve">an AI feature or agent, or when builders run agentic tools with real permissions.</w:t>
      </w:r>
    </w:p>
    <w:p>
      <w:pPr>
        <w:pStyle w:val="Compact"/>
        <w:numPr>
          <w:ilvl w:val="0"/>
          <w:numId w:val="1001"/>
        </w:numPr>
      </w:pPr>
      <w:r>
        <w:rPr>
          <w:lang w:val="en"/>
        </w:rPr>
        <w:t xml:space="preserve">Accessibility: WCAG 2.2 AA is the test for apps people outside the business use, and good practice for internal apps staff must use.</w:t>
      </w:r>
    </w:p>
    <w:p>
      <w:pPr>
        <w:pStyle w:val="FirstParagraph"/>
      </w:pPr>
      <w:r>
        <w:rPr>
          <w:lang w:val="en"/>
        </w:rPr>
        <w:t xml:space="preserve">Building an app with AI help doesn't change which of these apply. What the app does, and what it holds, does. That's the same principle the</w:t>
      </w:r>
      <w:r>
        <w:rPr>
          <w:lang w:val="en"/>
        </w:rPr>
        <w:t xml:space="preserve"> </w:t>
      </w:r>
      <w:hyperlink r:id="rId11">
        <w:r>
          <w:rPr>
            <w:rStyle w:val="Hyperlink"/>
            <w:lang w:val="en"/>
          </w:rPr>
          <w:t xml:space="preserve">six tier questions</w:t>
        </w:r>
      </w:hyperlink>
      <w:r>
        <w:rPr>
          <w:lang w:val="en"/>
        </w:rPr>
        <w:t xml:space="preserve"> </w:t>
      </w:r>
      <w:r>
        <w:rPr>
          <w:lang w:val="en"/>
        </w:rPr>
        <w:t xml:space="preserve">use: every worker-built app sits in one of four risk tiers (Sandbox, Team, Important or Critical), set by the highest answer to six questions about its data, users, internet reach, dependence, decisions about people and actions, and two floors apply at every tier.</w:t>
      </w:r>
    </w:p>
    <w:bookmarkEnd w:id="12"/>
    <w:bookmarkStart w:id="31" w:name="crosswalk"/>
    <w:p>
      <w:pPr>
        <w:pStyle w:val="Heading2"/>
      </w:pPr>
      <w:r>
        <w:rPr>
          <w:lang w:val="en"/>
        </w:rPr>
        <w:t xml:space="preserve">The crosswalk</w:t>
      </w:r>
    </w:p>
    <w:p>
      <w:pPr>
        <w:pStyle w:val="FirstParagraph"/>
      </w:pPr>
      <w:r>
        <w:rPr>
          <w:b/>
          <w:bCs/>
          <w:lang w:val="en"/>
        </w:rPr>
        <w:t xml:space="preserve">Fast-moving</w:t>
      </w:r>
    </w:p>
    <w:p>
      <w:pPr>
        <w:pStyle w:val="BodyText"/>
      </w:pPr>
      <w:r>
        <w:rPr>
          <w:lang w:val="en"/>
        </w:rPr>
        <w:t xml:space="preserve">As of October 2026. Check the review date.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en"/>
              </w:rPr>
              <w:t xml:space="preserve">Standard</w:t>
            </w:r>
          </w:p>
        </w:tc>
        <w:tc>
          <w:tcPr/>
          <w:p>
            <w:pPr>
              <w:pStyle w:val="Compact"/>
            </w:pPr>
            <w:r>
              <w:rPr>
                <w:lang w:val="en"/>
              </w:rPr>
              <w:t xml:space="preserve">Version and date</w:t>
            </w:r>
          </w:p>
        </w:tc>
        <w:tc>
          <w:tcPr/>
          <w:p>
            <w:pPr>
              <w:pStyle w:val="Compact"/>
            </w:pPr>
            <w:r>
              <w:rPr>
                <w:lang w:val="en"/>
              </w:rPr>
              <w:t xml:space="preserve">Status</w:t>
            </w:r>
          </w:p>
        </w:tc>
        <w:tc>
          <w:tcPr/>
          <w:p>
            <w:pPr>
              <w:pStyle w:val="Compact"/>
            </w:pPr>
            <w:r>
              <w:rPr>
                <w:lang w:val="en"/>
              </w:rPr>
              <w:t xml:space="preserve">What it asks</w:t>
            </w:r>
          </w:p>
        </w:tc>
        <w:tc>
          <w:tcPr/>
          <w:p>
            <w:pPr>
              <w:pStyle w:val="Compact"/>
            </w:pPr>
            <w:r>
              <w:rPr>
                <w:lang w:val="en"/>
              </w:rPr>
              <w:t xml:space="preserve">Lifecycle stage</w:t>
            </w:r>
          </w:p>
        </w:tc>
        <w:tc>
          <w:tcPr/>
          <w:p>
            <w:pPr>
              <w:pStyle w:val="Compact"/>
            </w:pPr>
            <w:r>
              <w:rPr>
                <w:lang w:val="en"/>
              </w:rPr>
              <w:t xml:space="preserve">Where this site covers it</w:t>
            </w:r>
          </w:p>
        </w:tc>
      </w:tr>
      <w:tr>
        <w:tc>
          <w:tcPr/>
          <w:p>
            <w:pPr>
              <w:pStyle w:val="Compact"/>
            </w:pPr>
            <w:r>
              <w:rPr>
                <w:lang w:val="en"/>
              </w:rPr>
              <w:t xml:space="preserve">NIST AI RMF (AI 100-1)</w:t>
            </w:r>
            <w:hyperlink w:anchor="fn:rmf">
              <w:r>
                <w:rPr>
                  <w:rStyle w:val="Hyperlink"/>
                  <w:vertAlign w:val="superscript"/>
                  <w:lang w:val="en"/>
                </w:rPr>
                <w:t xml:space="preserve">1</w:t>
              </w:r>
            </w:hyperlink>
          </w:p>
        </w:tc>
        <w:tc>
          <w:tcPr/>
          <w:p>
            <w:pPr>
              <w:pStyle w:val="Compact"/>
            </w:pPr>
            <w:r>
              <w:rPr>
                <w:lang w:val="en"/>
              </w:rPr>
              <w:t xml:space="preserve">1.0, Jan 2023</w:t>
            </w:r>
          </w:p>
        </w:tc>
        <w:tc>
          <w:tcPr/>
          <w:p>
            <w:pPr>
              <w:pStyle w:val="Compact"/>
            </w:pPr>
            <w:r>
              <w:rPr>
                <w:lang w:val="en"/>
              </w:rPr>
              <w:t xml:space="preserve">Voluntary; under revision</w:t>
            </w:r>
          </w:p>
        </w:tc>
        <w:tc>
          <w:tcPr/>
          <w:p>
            <w:pPr>
              <w:pStyle w:val="Compact"/>
            </w:pPr>
            <w:r>
              <w:rPr>
                <w:lang w:val="en"/>
              </w:rPr>
              <w:t xml:space="preserve">Four functions (Govern, Map, Measure, Manage); documented risk tolerance, context mapping, measurement, risk treatment</w:t>
            </w:r>
          </w:p>
        </w:tc>
        <w:tc>
          <w:tcPr/>
          <w:p>
            <w:pPr>
              <w:pStyle w:val="Compact"/>
            </w:pPr>
            <w:r>
              <w:rPr>
                <w:lang w:val="en"/>
              </w:rPr>
              <w:t xml:space="preserve">Program-wide; intake (Map); verify (Measure); operate (Manage)</w:t>
            </w:r>
          </w:p>
        </w:tc>
        <w:tc>
          <w:tcPr/>
          <w:p>
            <w:pPr>
              <w:pStyle w:val="Compact"/>
            </w:pPr>
            <w:hyperlink r:id="rId13">
              <w:r>
                <w:rPr>
                  <w:rStyle w:val="Hyperlink"/>
                  <w:lang w:val="en"/>
                </w:rPr>
                <w:t xml:space="preserve">Governance</w:t>
              </w:r>
            </w:hyperlink>
            <w:r>
              <w:rPr>
                <w:lang w:val="en"/>
              </w:rPr>
              <w:t xml:space="preserve">,</w:t>
            </w:r>
            <w:r>
              <w:rPr>
                <w:lang w:val="en"/>
              </w:rPr>
              <w:t xml:space="preserve"> </w:t>
            </w:r>
            <w:hyperlink r:id="rId14">
              <w:r>
                <w:rPr>
                  <w:rStyle w:val="Hyperlink"/>
                  <w:lang w:val="en"/>
                </w:rPr>
                <w:t xml:space="preserve">risk tiers</w:t>
              </w:r>
            </w:hyperlink>
            <w:r>
              <w:rPr>
                <w:lang w:val="en"/>
              </w:rPr>
              <w:t xml:space="preserve">,</w:t>
            </w:r>
            <w:r>
              <w:rPr>
                <w:lang w:val="en"/>
              </w:rPr>
              <w:t xml:space="preserve"> </w:t>
            </w:r>
            <w:hyperlink r:id="rId15">
              <w:r>
                <w:rPr>
                  <w:rStyle w:val="Hyperlink"/>
                  <w:lang w:val="en"/>
                </w:rPr>
                <w:t xml:space="preserve">evaluate an AI feature</w:t>
              </w:r>
            </w:hyperlink>
          </w:p>
        </w:tc>
      </w:tr>
      <w:tr>
        <w:tc>
          <w:tcPr/>
          <w:p>
            <w:pPr>
              <w:pStyle w:val="Compact"/>
            </w:pPr>
            <w:r>
              <w:rPr>
                <w:lang w:val="en"/>
              </w:rPr>
              <w:t xml:space="preserve">NIST AI 600-1, Generative AI Profile</w:t>
            </w:r>
            <w:hyperlink w:anchor="fn:ai600">
              <w:r>
                <w:rPr>
                  <w:rStyle w:val="Hyperlink"/>
                  <w:vertAlign w:val="superscript"/>
                  <w:lang w:val="en"/>
                </w:rPr>
                <w:t xml:space="preserve">2</w:t>
              </w:r>
            </w:hyperlink>
          </w:p>
        </w:tc>
        <w:tc>
          <w:tcPr/>
          <w:p>
            <w:pPr>
              <w:pStyle w:val="Compact"/>
            </w:pPr>
            <w:r>
              <w:rPr>
                <w:lang w:val="en"/>
              </w:rPr>
              <w:t xml:space="preserve">Final, Jul 2024</w:t>
            </w:r>
          </w:p>
        </w:tc>
        <w:tc>
          <w:tcPr/>
          <w:p>
            <w:pPr>
              <w:pStyle w:val="Compact"/>
            </w:pPr>
            <w:r>
              <w:rPr>
                <w:lang w:val="en"/>
              </w:rPr>
              <w:t xml:space="preserve">Voluntary</w:t>
            </w:r>
          </w:p>
        </w:tc>
        <w:tc>
          <w:tcPr/>
          <w:p>
            <w:pPr>
              <w:pStyle w:val="Compact"/>
            </w:pPr>
            <w:r>
              <w:rPr>
                <w:lang w:val="en"/>
              </w:rPr>
              <w:t xml:space="preserve">Twelve generative AI risks (confabulation, information security, data privacy, IP and others) with suggested actions mapped to the RMF</w:t>
            </w:r>
          </w:p>
        </w:tc>
        <w:tc>
          <w:tcPr/>
          <w:p>
            <w:pPr>
              <w:pStyle w:val="Compact"/>
            </w:pPr>
            <w:r>
              <w:rPr>
                <w:lang w:val="en"/>
              </w:rPr>
              <w:t xml:space="preserve">Intake, verify, operate</w:t>
            </w:r>
          </w:p>
        </w:tc>
        <w:tc>
          <w:tcPr/>
          <w:p>
            <w:pPr>
              <w:pStyle w:val="Compact"/>
            </w:pPr>
            <w:hyperlink r:id="rId16">
              <w:r>
                <w:rPr>
                  <w:rStyle w:val="Hyperlink"/>
                  <w:lang w:val="en"/>
                </w:rPr>
                <w:t xml:space="preserve">Secure AI features</w:t>
              </w:r>
            </w:hyperlink>
          </w:p>
        </w:tc>
      </w:tr>
      <w:tr>
        <w:tc>
          <w:tcPr/>
          <w:p>
            <w:pPr>
              <w:pStyle w:val="Compact"/>
            </w:pPr>
            <w:r>
              <w:rPr>
                <w:lang w:val="en"/>
              </w:rPr>
              <w:t xml:space="preserve">NIST CSF 2.0</w:t>
            </w:r>
            <w:hyperlink w:anchor="fn:csf">
              <w:r>
                <w:rPr>
                  <w:rStyle w:val="Hyperlink"/>
                  <w:vertAlign w:val="superscript"/>
                  <w:lang w:val="en"/>
                </w:rPr>
                <w:t xml:space="preserve">3</w:t>
              </w:r>
            </w:hyperlink>
          </w:p>
        </w:tc>
        <w:tc>
          <w:tcPr/>
          <w:p>
            <w:pPr>
              <w:pStyle w:val="Compact"/>
            </w:pPr>
            <w:r>
              <w:rPr>
                <w:lang w:val="en"/>
              </w:rPr>
              <w:t xml:space="preserve">2.0, Feb 2024</w:t>
            </w:r>
          </w:p>
        </w:tc>
        <w:tc>
          <w:tcPr/>
          <w:p>
            <w:pPr>
              <w:pStyle w:val="Compact"/>
            </w:pPr>
            <w:r>
              <w:rPr>
                <w:lang w:val="en"/>
              </w:rPr>
              <w:t xml:space="preserve">Voluntary</w:t>
            </w:r>
          </w:p>
        </w:tc>
        <w:tc>
          <w:tcPr/>
          <w:p>
            <w:pPr>
              <w:pStyle w:val="Compact"/>
            </w:pPr>
            <w:r>
              <w:rPr>
                <w:lang w:val="en"/>
              </w:rPr>
              <w:t xml:space="preserve">Six functions (Govern, Identify, Protect, Detect, Respond, Recover), including asset inventory and supply-chain risk</w:t>
            </w:r>
          </w:p>
        </w:tc>
        <w:tc>
          <w:tcPr/>
          <w:p>
            <w:pPr>
              <w:pStyle w:val="Compact"/>
            </w:pPr>
            <w:r>
              <w:rPr>
                <w:lang w:val="en"/>
              </w:rPr>
              <w:t xml:space="preserve">All stages</w:t>
            </w:r>
          </w:p>
        </w:tc>
        <w:tc>
          <w:tcPr/>
          <w:p>
            <w:pPr>
              <w:pStyle w:val="Compact"/>
            </w:pPr>
            <w:hyperlink w:anchor="reuse-what-you-already-have">
              <w:r>
                <w:rPr>
                  <w:rStyle w:val="Hyperlink"/>
                  <w:lang w:val="en"/>
                </w:rPr>
                <w:t xml:space="preserve">Reuse table below</w:t>
              </w:r>
            </w:hyperlink>
          </w:p>
        </w:tc>
      </w:tr>
      <w:tr>
        <w:tc>
          <w:tcPr/>
          <w:p>
            <w:pPr>
              <w:pStyle w:val="Compact"/>
            </w:pPr>
            <w:r>
              <w:rPr>
                <w:lang w:val="en"/>
              </w:rPr>
              <w:t xml:space="preserve">NIST Cyber AI Profile (IR 8596)</w:t>
            </w:r>
            <w:hyperlink w:anchor="fn:ir8596">
              <w:r>
                <w:rPr>
                  <w:rStyle w:val="Hyperlink"/>
                  <w:vertAlign w:val="superscript"/>
                  <w:lang w:val="en"/>
                </w:rPr>
                <w:t xml:space="preserve">4</w:t>
              </w:r>
            </w:hyperlink>
          </w:p>
        </w:tc>
        <w:tc>
          <w:tcPr/>
          <w:p>
            <w:pPr>
              <w:pStyle w:val="Compact"/>
            </w:pPr>
            <w:r>
              <w:rPr>
                <w:lang w:val="en"/>
              </w:rPr>
              <w:t xml:space="preserve">Preliminary draft, Dec 2025</w:t>
            </w:r>
          </w:p>
        </w:tc>
        <w:tc>
          <w:tcPr/>
          <w:p>
            <w:pPr>
              <w:pStyle w:val="Compact"/>
            </w:pPr>
            <w:r>
              <w:rPr>
                <w:lang w:val="en"/>
              </w:rPr>
              <w:t xml:space="preserve">Draft; not final</w:t>
            </w:r>
          </w:p>
        </w:tc>
        <w:tc>
          <w:tcPr/>
          <w:p>
            <w:pPr>
              <w:pStyle w:val="Compact"/>
            </w:pPr>
            <w:r>
              <w:rPr>
                <w:lang w:val="en"/>
              </w:rPr>
              <w:t xml:space="preserve">A CSF 2.0 profile for securing AI systems and defending against AI-enabled attacks</w:t>
            </w:r>
          </w:p>
        </w:tc>
        <w:tc>
          <w:tcPr/>
          <w:p>
            <w:pPr>
              <w:pStyle w:val="Compact"/>
            </w:pPr>
            <w:r>
              <w:rPr>
                <w:lang w:val="en"/>
              </w:rPr>
              <w:t xml:space="preserve">Build, deploy, operate</w:t>
            </w:r>
          </w:p>
        </w:tc>
        <w:tc>
          <w:tcPr/>
          <w:p>
            <w:pPr>
              <w:pStyle w:val="Compact"/>
            </w:pPr>
            <w:r>
              <w:rPr>
                <w:lang w:val="en"/>
              </w:rPr>
              <w:t xml:space="preserve">Watch item</w:t>
            </w:r>
          </w:p>
        </w:tc>
      </w:tr>
      <w:tr>
        <w:tc>
          <w:tcPr/>
          <w:p>
            <w:pPr>
              <w:pStyle w:val="Compact"/>
            </w:pPr>
            <w:r>
              <w:rPr>
                <w:lang w:val="en"/>
              </w:rPr>
              <w:t xml:space="preserve">NIST SSDF (SP 800-218)</w:t>
            </w:r>
            <w:hyperlink w:anchor="fn:ssdf">
              <w:r>
                <w:rPr>
                  <w:rStyle w:val="Hyperlink"/>
                  <w:vertAlign w:val="superscript"/>
                  <w:lang w:val="en"/>
                </w:rPr>
                <w:t xml:space="preserve">5</w:t>
              </w:r>
            </w:hyperlink>
          </w:p>
        </w:tc>
        <w:tc>
          <w:tcPr/>
          <w:p>
            <w:pPr>
              <w:pStyle w:val="Compact"/>
            </w:pPr>
            <w:r>
              <w:rPr>
                <w:lang w:val="en"/>
              </w:rPr>
              <w:t xml:space="preserve">v1.1, Feb 2022; Rev. 1 draft, Dec 2025</w:t>
            </w:r>
          </w:p>
        </w:tc>
        <w:tc>
          <w:tcPr/>
          <w:p>
            <w:pPr>
              <w:pStyle w:val="Compact"/>
            </w:pPr>
            <w:r>
              <w:rPr>
                <w:lang w:val="en"/>
              </w:rPr>
              <w:t xml:space="preserve">v1.1 final; Rev. 1 still a draft</w:t>
            </w:r>
          </w:p>
        </w:tc>
        <w:tc>
          <w:tcPr/>
          <w:p>
            <w:pPr>
              <w:pStyle w:val="Compact"/>
            </w:pPr>
            <w:r>
              <w:rPr>
                <w:lang w:val="en"/>
              </w:rPr>
              <w:t xml:space="preserve">Secure-development practice groups: prepare the organization (PO), protect the software (PS), produce well-secured software (PW), respond to vulnerabilities (RV)</w:t>
            </w:r>
          </w:p>
        </w:tc>
        <w:tc>
          <w:tcPr/>
          <w:p>
            <w:pPr>
              <w:pStyle w:val="Compact"/>
            </w:pPr>
            <w:r>
              <w:rPr>
                <w:lang w:val="en"/>
              </w:rPr>
              <w:t xml:space="preserve">Build, verify, deploy, change</w:t>
            </w:r>
          </w:p>
        </w:tc>
        <w:tc>
          <w:tcPr/>
          <w:p>
            <w:pPr>
              <w:pStyle w:val="Compact"/>
            </w:pPr>
            <w:hyperlink r:id="rId17">
              <w:r>
                <w:rPr>
                  <w:rStyle w:val="Hyperlink"/>
                  <w:lang w:val="en"/>
                </w:rPr>
                <w:t xml:space="preserve">Security checklist</w:t>
              </w:r>
            </w:hyperlink>
            <w:r>
              <w:rPr>
                <w:lang w:val="en"/>
              </w:rPr>
              <w:t xml:space="preserve">,</w:t>
            </w:r>
            <w:r>
              <w:rPr>
                <w:lang w:val="en"/>
              </w:rPr>
              <w:t xml:space="preserve"> </w:t>
            </w:r>
            <w:hyperlink r:id="rId18">
              <w:r>
                <w:rPr>
                  <w:rStyle w:val="Hyperlink"/>
                  <w:lang w:val="en"/>
                </w:rPr>
                <w:t xml:space="preserve">change</w:t>
              </w:r>
            </w:hyperlink>
          </w:p>
        </w:tc>
      </w:tr>
      <w:tr>
        <w:tc>
          <w:tcPr/>
          <w:p>
            <w:pPr>
              <w:pStyle w:val="Compact"/>
            </w:pPr>
            <w:r>
              <w:rPr>
                <w:lang w:val="en"/>
              </w:rPr>
              <w:t xml:space="preserve">NIST SP 800-218A</w:t>
            </w:r>
            <w:hyperlink w:anchor="fn:ssdf218a">
              <w:r>
                <w:rPr>
                  <w:rStyle w:val="Hyperlink"/>
                  <w:vertAlign w:val="superscript"/>
                  <w:lang w:val="en"/>
                </w:rPr>
                <w:t xml:space="preserve">6</w:t>
              </w:r>
            </w:hyperlink>
          </w:p>
        </w:tc>
        <w:tc>
          <w:tcPr/>
          <w:p>
            <w:pPr>
              <w:pStyle w:val="Compact"/>
            </w:pPr>
            <w:r>
              <w:rPr>
                <w:lang w:val="en"/>
              </w:rPr>
              <w:t xml:space="preserve">Final, Jul 2024</w:t>
            </w:r>
          </w:p>
        </w:tc>
        <w:tc>
          <w:tcPr/>
          <w:p>
            <w:pPr>
              <w:pStyle w:val="Compact"/>
            </w:pPr>
            <w:r>
              <w:rPr>
                <w:lang w:val="en"/>
              </w:rPr>
              <w:t xml:space="preserve">Voluntary</w:t>
            </w:r>
          </w:p>
        </w:tc>
        <w:tc>
          <w:tcPr/>
          <w:p>
            <w:pPr>
              <w:pStyle w:val="Compact"/>
            </w:pPr>
            <w:r>
              <w:rPr>
                <w:lang w:val="en"/>
              </w:rPr>
              <w:t xml:space="preserve">SSDF profile for</w:t>
            </w:r>
            <w:r>
              <w:rPr>
                <w:lang w:val="en"/>
              </w:rPr>
              <w:t xml:space="preserve"> </w:t>
            </w:r>
            <w:r>
              <w:rPr>
                <w:b/>
                <w:bCs/>
                <w:lang w:val="en"/>
              </w:rPr>
              <w:t xml:space="preserve">producers of generative AI and foundation models</w:t>
            </w:r>
            <w:r>
              <w:rPr>
                <w:lang w:val="en"/>
              </w:rPr>
              <w:t xml:space="preserve">: model and data provenance, training-data integrity, weight protection</w:t>
            </w:r>
          </w:p>
        </w:tc>
        <w:tc>
          <w:tcPr/>
          <w:p>
            <w:pPr>
              <w:pStyle w:val="Compact"/>
            </w:pPr>
            <w:r>
              <w:rPr>
                <w:lang w:val="en"/>
              </w:rPr>
              <w:t xml:space="preserve">Build (only if you train or fine-tune models)</w:t>
            </w:r>
          </w:p>
        </w:tc>
        <w:tc>
          <w:tcPr/>
          <w:p>
            <w:pPr>
              <w:pStyle w:val="Compact"/>
            </w:pPr>
            <w:r>
              <w:rPr>
                <w:lang w:val="en"/>
              </w:rPr>
              <w:t xml:space="preserve">Not used for AI-assisted building</w:t>
            </w:r>
          </w:p>
        </w:tc>
      </w:tr>
      <w:tr>
        <w:tc>
          <w:tcPr/>
          <w:p>
            <w:pPr>
              <w:pStyle w:val="Compact"/>
            </w:pPr>
            <w:r>
              <w:rPr>
                <w:lang w:val="en"/>
              </w:rPr>
              <w:t xml:space="preserve">ISO/IEC 42001</w:t>
            </w:r>
            <w:hyperlink w:anchor="fn:iso42001">
              <w:r>
                <w:rPr>
                  <w:rStyle w:val="Hyperlink"/>
                  <w:vertAlign w:val="superscript"/>
                  <w:lang w:val="en"/>
                </w:rPr>
                <w:t xml:space="preserve">7</w:t>
              </w:r>
            </w:hyperlink>
          </w:p>
        </w:tc>
        <w:tc>
          <w:tcPr/>
          <w:p>
            <w:pPr>
              <w:pStyle w:val="Compact"/>
            </w:pPr>
            <w:r>
              <w:rPr>
                <w:lang w:val="en"/>
              </w:rPr>
              <w:t xml:space="preserve">2023, first edition</w:t>
            </w:r>
          </w:p>
        </w:tc>
        <w:tc>
          <w:tcPr/>
          <w:p>
            <w:pPr>
              <w:pStyle w:val="Compact"/>
            </w:pPr>
            <w:r>
              <w:rPr>
                <w:lang w:val="en"/>
              </w:rPr>
              <w:t xml:space="preserve">Certifiable</w:t>
            </w:r>
          </w:p>
        </w:tc>
        <w:tc>
          <w:tcPr/>
          <w:p>
            <w:pPr>
              <w:pStyle w:val="Compact"/>
            </w:pPr>
            <w:r>
              <w:rPr>
                <w:lang w:val="en"/>
              </w:rPr>
              <w:t xml:space="preserve">An AI management system: AI policy, risk and impact assessment, Annex A lifecycle controls</w:t>
            </w:r>
          </w:p>
        </w:tc>
        <w:tc>
          <w:tcPr/>
          <w:p>
            <w:pPr>
              <w:pStyle w:val="Compact"/>
            </w:pPr>
            <w:r>
              <w:rPr>
                <w:lang w:val="en"/>
              </w:rPr>
              <w:t xml:space="preserve">Program-wide; intake (impact assessment)</w:t>
            </w:r>
          </w:p>
        </w:tc>
        <w:tc>
          <w:tcPr/>
          <w:p>
            <w:pPr>
              <w:pStyle w:val="Compact"/>
            </w:pPr>
            <w:hyperlink r:id="rId13">
              <w:r>
                <w:rPr>
                  <w:rStyle w:val="Hyperlink"/>
                  <w:lang w:val="en"/>
                </w:rPr>
                <w:t xml:space="preserve">Governance</w:t>
              </w:r>
            </w:hyperlink>
            <w:r>
              <w:rPr>
                <w:lang w:val="en"/>
              </w:rPr>
              <w:t xml:space="preserve">,</w:t>
            </w:r>
            <w:r>
              <w:rPr>
                <w:lang w:val="en"/>
              </w:rPr>
              <w:t xml:space="preserve"> </w:t>
            </w:r>
            <w:hyperlink r:id="rId19">
              <w:r>
                <w:rPr>
                  <w:rStyle w:val="Hyperlink"/>
                  <w:lang w:val="en"/>
                </w:rPr>
                <w:t xml:space="preserve">intake</w:t>
              </w:r>
            </w:hyperlink>
          </w:p>
        </w:tc>
      </w:tr>
      <w:tr>
        <w:tc>
          <w:tcPr/>
          <w:p>
            <w:pPr>
              <w:pStyle w:val="Compact"/>
            </w:pPr>
            <w:r>
              <w:rPr>
                <w:lang w:val="en"/>
              </w:rPr>
              <w:t xml:space="preserve">ISO/IEC 27001</w:t>
            </w:r>
            <w:hyperlink w:anchor="fn:iso27001">
              <w:r>
                <w:rPr>
                  <w:rStyle w:val="Hyperlink"/>
                  <w:vertAlign w:val="superscript"/>
                  <w:lang w:val="en"/>
                </w:rPr>
                <w:t xml:space="preserve">8</w:t>
              </w:r>
            </w:hyperlink>
          </w:p>
        </w:tc>
        <w:tc>
          <w:tcPr/>
          <w:p>
            <w:pPr>
              <w:pStyle w:val="Compact"/>
            </w:pPr>
            <w:r>
              <w:rPr>
                <w:lang w:val="en"/>
              </w:rPr>
              <w:t xml:space="preserve">2022</w:t>
            </w:r>
          </w:p>
        </w:tc>
        <w:tc>
          <w:tcPr/>
          <w:p>
            <w:pPr>
              <w:pStyle w:val="Compact"/>
            </w:pPr>
            <w:r>
              <w:rPr>
                <w:lang w:val="en"/>
              </w:rPr>
              <w:t xml:space="preserve">Certifiable</w:t>
            </w:r>
          </w:p>
        </w:tc>
        <w:tc>
          <w:tcPr/>
          <w:p>
            <w:pPr>
              <w:pStyle w:val="Compact"/>
            </w:pPr>
            <w:r>
              <w:rPr>
                <w:lang w:val="en"/>
              </w:rPr>
              <w:t xml:space="preserve">An information security management system with Annex A controls (inventory, access, supplier, secure development, change, logging)</w:t>
            </w:r>
          </w:p>
        </w:tc>
        <w:tc>
          <w:tcPr/>
          <w:p>
            <w:pPr>
              <w:pStyle w:val="Compact"/>
            </w:pPr>
            <w:r>
              <w:rPr>
                <w:lang w:val="en"/>
              </w:rPr>
              <w:t xml:space="preserve">All stages</w:t>
            </w:r>
          </w:p>
        </w:tc>
        <w:tc>
          <w:tcPr/>
          <w:p>
            <w:pPr>
              <w:pStyle w:val="Compact"/>
            </w:pPr>
            <w:hyperlink w:anchor="reuse-what-you-already-have">
              <w:r>
                <w:rPr>
                  <w:rStyle w:val="Hyperlink"/>
                  <w:lang w:val="en"/>
                </w:rPr>
                <w:t xml:space="preserve">Reuse table below</w:t>
              </w:r>
            </w:hyperlink>
            <w:r>
              <w:rPr>
                <w:lang w:val="en"/>
              </w:rPr>
              <w:t xml:space="preserve">,</w:t>
            </w:r>
            <w:r>
              <w:rPr>
                <w:lang w:val="en"/>
              </w:rPr>
              <w:t xml:space="preserve"> </w:t>
            </w:r>
            <w:hyperlink r:id="rId20">
              <w:r>
                <w:rPr>
                  <w:rStyle w:val="Hyperlink"/>
                  <w:lang w:val="en"/>
                </w:rPr>
                <w:t xml:space="preserve">compliance</w:t>
              </w:r>
            </w:hyperlink>
          </w:p>
        </w:tc>
      </w:tr>
      <w:tr>
        <w:tc>
          <w:tcPr/>
          <w:p>
            <w:pPr>
              <w:pStyle w:val="Compact"/>
            </w:pPr>
            <w:r>
              <w:rPr>
                <w:lang w:val="en"/>
              </w:rPr>
              <w:t xml:space="preserve">SOC 2 Trust Services Criteria</w:t>
            </w:r>
            <w:hyperlink w:anchor="fn:tsc">
              <w:r>
                <w:rPr>
                  <w:rStyle w:val="Hyperlink"/>
                  <w:vertAlign w:val="superscript"/>
                  <w:lang w:val="en"/>
                </w:rPr>
                <w:t xml:space="preserve">9</w:t>
              </w:r>
            </w:hyperlink>
          </w:p>
        </w:tc>
        <w:tc>
          <w:tcPr/>
          <w:p>
            <w:pPr>
              <w:pStyle w:val="Compact"/>
            </w:pPr>
            <w:r>
              <w:rPr>
                <w:lang w:val="en"/>
              </w:rPr>
              <w:t xml:space="preserve">2017 criteria, 2022 points of focus</w:t>
            </w:r>
          </w:p>
        </w:tc>
        <w:tc>
          <w:tcPr/>
          <w:p>
            <w:pPr>
              <w:pStyle w:val="Compact"/>
            </w:pPr>
            <w:r>
              <w:rPr>
                <w:lang w:val="en"/>
              </w:rPr>
              <w:t xml:space="preserve">Attestation by a CPA; contractual</w:t>
            </w:r>
          </w:p>
        </w:tc>
        <w:tc>
          <w:tcPr/>
          <w:p>
            <w:pPr>
              <w:pStyle w:val="Compact"/>
            </w:pPr>
            <w:r>
              <w:rPr>
                <w:lang w:val="en"/>
              </w:rPr>
              <w:t xml:space="preserve">Security (common criteria CC1–CC9), plus Availability, Processing Integrity, Confidentiality and Privacy where in scope</w:t>
            </w:r>
          </w:p>
        </w:tc>
        <w:tc>
          <w:tcPr/>
          <w:p>
            <w:pPr>
              <w:pStyle w:val="Compact"/>
            </w:pPr>
            <w:r>
              <w:rPr>
                <w:lang w:val="en"/>
              </w:rPr>
              <w:t xml:space="preserve">All stages</w:t>
            </w:r>
          </w:p>
        </w:tc>
        <w:tc>
          <w:tcPr/>
          <w:p>
            <w:pPr>
              <w:pStyle w:val="Compact"/>
            </w:pPr>
            <w:hyperlink r:id="rId20">
              <w:r>
                <w:rPr>
                  <w:rStyle w:val="Hyperlink"/>
                  <w:lang w:val="en"/>
                </w:rPr>
                <w:t xml:space="preserve">SOC 2 scoping</w:t>
              </w:r>
            </w:hyperlink>
          </w:p>
        </w:tc>
      </w:tr>
      <w:tr>
        <w:tc>
          <w:tcPr/>
          <w:p>
            <w:pPr>
              <w:pStyle w:val="Compact"/>
            </w:pPr>
            <w:r>
              <w:rPr>
                <w:lang w:val="en"/>
              </w:rPr>
              <w:t xml:space="preserve">PCI DSS</w:t>
            </w:r>
            <w:hyperlink w:anchor="fn:pci">
              <w:r>
                <w:rPr>
                  <w:rStyle w:val="Hyperlink"/>
                  <w:vertAlign w:val="superscript"/>
                  <w:lang w:val="en"/>
                </w:rPr>
                <w:t xml:space="preserve">10</w:t>
              </w:r>
            </w:hyperlink>
          </w:p>
        </w:tc>
        <w:tc>
          <w:tcPr/>
          <w:p>
            <w:pPr>
              <w:pStyle w:val="Compact"/>
            </w:pPr>
            <w:r>
              <w:rPr>
                <w:lang w:val="en"/>
              </w:rPr>
              <w:t xml:space="preserve">v4.0.1, Jun 2024</w:t>
            </w:r>
          </w:p>
        </w:tc>
        <w:tc>
          <w:tcPr/>
          <w:p>
            <w:pPr>
              <w:pStyle w:val="Compact"/>
            </w:pPr>
            <w:r>
              <w:rPr>
                <w:lang w:val="en"/>
              </w:rPr>
              <w:t xml:space="preserve">Contractual (card brands and acquirers); v4.0 retired end of 2024</w:t>
            </w:r>
          </w:p>
        </w:tc>
        <w:tc>
          <w:tcPr/>
          <w:p>
            <w:pPr>
              <w:pStyle w:val="Compact"/>
            </w:pPr>
            <w:r>
              <w:rPr>
                <w:lang w:val="en"/>
              </w:rPr>
              <w:t xml:space="preserve">Twelve requirement families for anyone storing, processing or transmitting card data, including scope (Req. 12.5.2) and service providers (Req. 12.8)</w:t>
            </w:r>
          </w:p>
        </w:tc>
        <w:tc>
          <w:tcPr/>
          <w:p>
            <w:pPr>
              <w:pStyle w:val="Compact"/>
            </w:pPr>
            <w:r>
              <w:rPr>
                <w:lang w:val="en"/>
              </w:rPr>
              <w:t xml:space="preserve">Intake (data class), build, operate</w:t>
            </w:r>
          </w:p>
        </w:tc>
        <w:tc>
          <w:tcPr/>
          <w:p>
            <w:pPr>
              <w:pStyle w:val="Compact"/>
            </w:pPr>
            <w:hyperlink r:id="rId21">
              <w:r>
                <w:rPr>
                  <w:rStyle w:val="Hyperlink"/>
                  <w:lang w:val="en"/>
                </w:rPr>
                <w:t xml:space="preserve">Data handling</w:t>
              </w:r>
            </w:hyperlink>
            <w:r>
              <w:rPr>
                <w:lang w:val="en"/>
              </w:rPr>
              <w:t xml:space="preserve">,</w:t>
            </w:r>
            <w:r>
              <w:rPr>
                <w:lang w:val="en"/>
              </w:rPr>
              <w:t xml:space="preserve"> </w:t>
            </w:r>
            <w:hyperlink r:id="rId22">
              <w:r>
                <w:rPr>
                  <w:rStyle w:val="Hyperlink"/>
                  <w:lang w:val="en"/>
                </w:rPr>
                <w:t xml:space="preserve">compliance C1</w:t>
              </w:r>
            </w:hyperlink>
          </w:p>
        </w:tc>
      </w:tr>
      <w:tr>
        <w:tc>
          <w:tcPr/>
          <w:p>
            <w:pPr>
              <w:pStyle w:val="Compact"/>
            </w:pPr>
            <w:r>
              <w:rPr>
                <w:lang w:val="en"/>
              </w:rPr>
              <w:t xml:space="preserve">OWASP Citizen Development Top 10</w:t>
            </w:r>
            <w:hyperlink w:anchor="fn:owaspcd">
              <w:r>
                <w:rPr>
                  <w:rStyle w:val="Hyperlink"/>
                  <w:vertAlign w:val="superscript"/>
                  <w:lang w:val="en"/>
                </w:rPr>
                <w:t xml:space="preserve">11</w:t>
              </w:r>
            </w:hyperlink>
          </w:p>
        </w:tc>
        <w:tc>
          <w:tcPr/>
          <w:p>
            <w:pPr>
              <w:pStyle w:val="Compact"/>
            </w:pPr>
            <w:r>
              <w:rPr>
                <w:lang w:val="en"/>
              </w:rPr>
              <w:t xml:space="preserve">No version stated; content path dated 2022</w:t>
            </w:r>
          </w:p>
        </w:tc>
        <w:tc>
          <w:tcPr/>
          <w:p>
            <w:pPr>
              <w:pStyle w:val="Compact"/>
            </w:pPr>
            <w:r>
              <w:rPr>
                <w:lang w:val="en"/>
              </w:rPr>
              <w:t xml:space="preserve">Community risk list</w:t>
            </w:r>
          </w:p>
        </w:tc>
        <w:tc>
          <w:tcPr/>
          <w:p>
            <w:pPr>
              <w:pStyle w:val="Compact"/>
            </w:pPr>
            <w:r>
              <w:rPr>
                <w:lang w:val="en"/>
              </w:rPr>
              <w:t xml:space="preserve">Ten risks for low-code, no-code, AI-assisted and agent-built apps, CD-SEC-01 Blind Trust to CD-SEC-10 Security Logging and Monitoring Failures</w:t>
            </w:r>
          </w:p>
        </w:tc>
        <w:tc>
          <w:tcPr/>
          <w:p>
            <w:pPr>
              <w:pStyle w:val="Compact"/>
            </w:pPr>
            <w:r>
              <w:rPr>
                <w:lang w:val="en"/>
              </w:rPr>
              <w:t xml:space="preserve">Intake, build, verify, retire</w:t>
            </w:r>
          </w:p>
        </w:tc>
        <w:tc>
          <w:tcPr/>
          <w:p>
            <w:pPr>
              <w:pStyle w:val="Compact"/>
            </w:pPr>
            <w:hyperlink r:id="rId23">
              <w:r>
                <w:rPr>
                  <w:rStyle w:val="Hyperlink"/>
                  <w:lang w:val="en"/>
                </w:rPr>
                <w:t xml:space="preserve">Security checklist mapping</w:t>
              </w:r>
            </w:hyperlink>
          </w:p>
        </w:tc>
      </w:tr>
      <w:tr>
        <w:tc>
          <w:tcPr/>
          <w:p>
            <w:pPr>
              <w:pStyle w:val="Compact"/>
            </w:pPr>
            <w:r>
              <w:rPr>
                <w:lang w:val="en"/>
              </w:rPr>
              <w:t xml:space="preserve">OWASP Top 10 for LLM Applications</w:t>
            </w:r>
            <w:hyperlink w:anchor="fn:owaspllm">
              <w:r>
                <w:rPr>
                  <w:rStyle w:val="Hyperlink"/>
                  <w:vertAlign w:val="superscript"/>
                  <w:lang w:val="en"/>
                </w:rPr>
                <w:t xml:space="preserve">12</w:t>
              </w:r>
            </w:hyperlink>
          </w:p>
        </w:tc>
        <w:tc>
          <w:tcPr/>
          <w:p>
            <w:pPr>
              <w:pStyle w:val="Compact"/>
            </w:pPr>
            <w:r>
              <w:rPr>
                <w:lang w:val="en"/>
              </w:rPr>
              <w:t xml:space="preserve">2025 edition</w:t>
            </w:r>
          </w:p>
        </w:tc>
        <w:tc>
          <w:tcPr/>
          <w:p>
            <w:pPr>
              <w:pStyle w:val="Compact"/>
            </w:pPr>
            <w:r>
              <w:rPr>
                <w:lang w:val="en"/>
              </w:rPr>
              <w:t xml:space="preserve">Community risk list</w:t>
            </w:r>
          </w:p>
        </w:tc>
        <w:tc>
          <w:tcPr/>
          <w:p>
            <w:pPr>
              <w:pStyle w:val="Compact"/>
            </w:pPr>
            <w:r>
              <w:rPr>
                <w:lang w:val="en"/>
              </w:rPr>
              <w:t xml:space="preserve">LLM01 Prompt Injection to LLM10 Unbounded Consumption</w:t>
            </w:r>
          </w:p>
        </w:tc>
        <w:tc>
          <w:tcPr/>
          <w:p>
            <w:pPr>
              <w:pStyle w:val="Compact"/>
            </w:pPr>
            <w:r>
              <w:rPr>
                <w:lang w:val="en"/>
              </w:rPr>
              <w:t xml:space="preserve">Intake (threat model), build, verify</w:t>
            </w:r>
          </w:p>
        </w:tc>
        <w:tc>
          <w:tcPr/>
          <w:p>
            <w:pPr>
              <w:pStyle w:val="Compact"/>
            </w:pPr>
            <w:hyperlink r:id="rId24">
              <w:r>
                <w:rPr>
                  <w:rStyle w:val="Hyperlink"/>
                  <w:lang w:val="en"/>
                </w:rPr>
                <w:t xml:space="preserve">Secure AI features</w:t>
              </w:r>
            </w:hyperlink>
          </w:p>
        </w:tc>
      </w:tr>
      <w:tr>
        <w:tc>
          <w:tcPr/>
          <w:p>
            <w:pPr>
              <w:pStyle w:val="Compact"/>
            </w:pPr>
            <w:r>
              <w:rPr>
                <w:lang w:val="en"/>
              </w:rPr>
              <w:t xml:space="preserve">OWASP Top 10 for Agentic Applications</w:t>
            </w:r>
            <w:hyperlink w:anchor="fn:owaspagentic">
              <w:r>
                <w:rPr>
                  <w:rStyle w:val="Hyperlink"/>
                  <w:vertAlign w:val="superscript"/>
                  <w:lang w:val="en"/>
                </w:rPr>
                <w:t xml:space="preserve">13</w:t>
              </w:r>
            </w:hyperlink>
          </w:p>
        </w:tc>
        <w:tc>
          <w:tcPr/>
          <w:p>
            <w:pPr>
              <w:pStyle w:val="Compact"/>
            </w:pPr>
            <w:r>
              <w:rPr>
                <w:lang w:val="en"/>
              </w:rPr>
              <w:t xml:space="preserve">2026 edition, released Dec 2025</w:t>
            </w:r>
          </w:p>
        </w:tc>
        <w:tc>
          <w:tcPr/>
          <w:p>
            <w:pPr>
              <w:pStyle w:val="Compact"/>
            </w:pPr>
            <w:r>
              <w:rPr>
                <w:lang w:val="en"/>
              </w:rPr>
              <w:t xml:space="preserve">Community risk list</w:t>
            </w:r>
          </w:p>
        </w:tc>
        <w:tc>
          <w:tcPr/>
          <w:p>
            <w:pPr>
              <w:pStyle w:val="Compact"/>
            </w:pPr>
            <w:r>
              <w:rPr>
                <w:lang w:val="en"/>
              </w:rPr>
              <w:t xml:space="preserve">Agent risks such as goal hijack, tool misuse, identity and privilege abuse, and rogue agents</w:t>
            </w:r>
          </w:p>
        </w:tc>
        <w:tc>
          <w:tcPr/>
          <w:p>
            <w:pPr>
              <w:pStyle w:val="Compact"/>
            </w:pPr>
            <w:r>
              <w:rPr>
                <w:lang w:val="en"/>
              </w:rPr>
              <w:t xml:space="preserve">Build, deploy, operate</w:t>
            </w:r>
          </w:p>
        </w:tc>
        <w:tc>
          <w:tcPr/>
          <w:p>
            <w:pPr>
              <w:pStyle w:val="Compact"/>
            </w:pPr>
            <w:hyperlink r:id="rId25">
              <w:r>
                <w:rPr>
                  <w:rStyle w:val="Hyperlink"/>
                  <w:lang w:val="en"/>
                </w:rPr>
                <w:t xml:space="preserve">MCP and agents</w:t>
              </w:r>
            </w:hyperlink>
            <w:r>
              <w:rPr>
                <w:lang w:val="en"/>
              </w:rPr>
              <w:t xml:space="preserve">,</w:t>
            </w:r>
            <w:r>
              <w:rPr>
                <w:lang w:val="en"/>
              </w:rPr>
              <w:t xml:space="preserve"> </w:t>
            </w:r>
            <w:hyperlink r:id="rId26">
              <w:r>
                <w:rPr>
                  <w:rStyle w:val="Hyperlink"/>
                  <w:lang w:val="en"/>
                </w:rPr>
                <w:t xml:space="preserve">coding agents</w:t>
              </w:r>
            </w:hyperlink>
          </w:p>
        </w:tc>
      </w:tr>
      <w:tr>
        <w:tc>
          <w:tcPr/>
          <w:p>
            <w:pPr>
              <w:pStyle w:val="Compact"/>
            </w:pPr>
            <w:r>
              <w:rPr>
                <w:lang w:val="en"/>
              </w:rPr>
              <w:t xml:space="preserve">MCP specification and security best practices</w:t>
            </w:r>
            <w:hyperlink w:anchor="fn:mcp">
              <w:r>
                <w:rPr>
                  <w:rStyle w:val="Hyperlink"/>
                  <w:vertAlign w:val="superscript"/>
                  <w:lang w:val="en"/>
                </w:rPr>
                <w:t xml:space="preserve">14</w:t>
              </w:r>
            </w:hyperlink>
          </w:p>
        </w:tc>
        <w:tc>
          <w:tcPr/>
          <w:p>
            <w:pPr>
              <w:pStyle w:val="Compact"/>
            </w:pPr>
            <w:r>
              <w:rPr>
                <w:lang w:val="en"/>
              </w:rPr>
              <w:t xml:space="preserve">2026-07-28</w:t>
            </w:r>
          </w:p>
        </w:tc>
        <w:tc>
          <w:tcPr/>
          <w:p>
            <w:pPr>
              <w:pStyle w:val="Compact"/>
            </w:pPr>
            <w:r>
              <w:rPr>
                <w:lang w:val="en"/>
              </w:rPr>
              <w:t xml:space="preserve">Protocol specification</w:t>
            </w:r>
          </w:p>
        </w:tc>
        <w:tc>
          <w:tcPr/>
          <w:p>
            <w:pPr>
              <w:pStyle w:val="Compact"/>
            </w:pPr>
            <w:r>
              <w:rPr>
                <w:lang w:val="en"/>
              </w:rPr>
              <w:t xml:space="preserve">Explicit user consent before tool calls; tool descriptions treated as untrusted; no token passthrough; least-privilege scopes</w:t>
            </w:r>
          </w:p>
        </w:tc>
        <w:tc>
          <w:tcPr/>
          <w:p>
            <w:pPr>
              <w:pStyle w:val="Compact"/>
            </w:pPr>
            <w:r>
              <w:rPr>
                <w:lang w:val="en"/>
              </w:rPr>
              <w:t xml:space="preserve">Build, deploy, operate</w:t>
            </w:r>
          </w:p>
        </w:tc>
        <w:tc>
          <w:tcPr/>
          <w:p>
            <w:pPr>
              <w:pStyle w:val="Compact"/>
            </w:pPr>
            <w:hyperlink r:id="rId27">
              <w:r>
                <w:rPr>
                  <w:rStyle w:val="Hyperlink"/>
                  <w:lang w:val="en"/>
                </w:rPr>
                <w:t xml:space="preserve">MCP security baseline</w:t>
              </w:r>
            </w:hyperlink>
          </w:p>
        </w:tc>
      </w:tr>
      <w:tr>
        <w:tc>
          <w:tcPr/>
          <w:p>
            <w:pPr>
              <w:pStyle w:val="Compact"/>
            </w:pPr>
            <w:r>
              <w:rPr>
                <w:lang w:val="en"/>
              </w:rPr>
              <w:t xml:space="preserve">SLSA</w:t>
            </w:r>
            <w:hyperlink w:anchor="fn:slsa">
              <w:r>
                <w:rPr>
                  <w:rStyle w:val="Hyperlink"/>
                  <w:vertAlign w:val="superscript"/>
                  <w:lang w:val="en"/>
                </w:rPr>
                <w:t xml:space="preserve">15</w:t>
              </w:r>
            </w:hyperlink>
          </w:p>
        </w:tc>
        <w:tc>
          <w:tcPr/>
          <w:p>
            <w:pPr>
              <w:pStyle w:val="Compact"/>
            </w:pPr>
            <w:r>
              <w:rPr>
                <w:lang w:val="en"/>
              </w:rPr>
              <w:t xml:space="preserve">v1.2</w:t>
            </w:r>
          </w:p>
        </w:tc>
        <w:tc>
          <w:tcPr/>
          <w:p>
            <w:pPr>
              <w:pStyle w:val="Compact"/>
            </w:pPr>
            <w:r>
              <w:rPr>
                <w:lang w:val="en"/>
              </w:rPr>
              <w:t xml:space="preserve">Approved specification</w:t>
            </w:r>
          </w:p>
        </w:tc>
        <w:tc>
          <w:tcPr/>
          <w:p>
            <w:pPr>
              <w:pStyle w:val="Compact"/>
            </w:pPr>
            <w:r>
              <w:rPr>
                <w:lang w:val="en"/>
              </w:rPr>
              <w:t xml:space="preserve">Supply-chain levels for build provenance, and a new Source track for source history and review</w:t>
            </w:r>
          </w:p>
        </w:tc>
        <w:tc>
          <w:tcPr/>
          <w:p>
            <w:pPr>
              <w:pStyle w:val="Compact"/>
            </w:pPr>
            <w:r>
              <w:rPr>
                <w:lang w:val="en"/>
              </w:rPr>
              <w:t xml:space="preserve">Build, deploy, change</w:t>
            </w:r>
          </w:p>
        </w:tc>
        <w:tc>
          <w:tcPr/>
          <w:p>
            <w:pPr>
              <w:pStyle w:val="Compact"/>
            </w:pPr>
            <w:hyperlink r:id="rId28">
              <w:r>
                <w:rPr>
                  <w:rStyle w:val="Hyperlink"/>
                  <w:lang w:val="en"/>
                </w:rPr>
                <w:t xml:space="preserve">Security checklist</w:t>
              </w:r>
            </w:hyperlink>
          </w:p>
        </w:tc>
      </w:tr>
      <w:tr>
        <w:tc>
          <w:tcPr/>
          <w:p>
            <w:pPr>
              <w:pStyle w:val="Compact"/>
            </w:pPr>
            <w:r>
              <w:rPr>
                <w:lang w:val="en"/>
              </w:rPr>
              <w:t xml:space="preserve">OpenSSF guide for AI code assistant instructions</w:t>
            </w:r>
            <w:hyperlink w:anchor="fn:openssf">
              <w:r>
                <w:rPr>
                  <w:rStyle w:val="Hyperlink"/>
                  <w:vertAlign w:val="superscript"/>
                  <w:lang w:val="en"/>
                </w:rPr>
                <w:t xml:space="preserve">16</w:t>
              </w:r>
            </w:hyperlink>
          </w:p>
        </w:tc>
        <w:tc>
          <w:tcPr/>
          <w:p>
            <w:pPr>
              <w:pStyle w:val="Compact"/>
            </w:pPr>
            <w:r>
              <w:rPr>
                <w:lang w:val="en"/>
              </w:rPr>
              <w:t xml:space="preserve">1 Aug 2025</w:t>
            </w:r>
          </w:p>
        </w:tc>
        <w:tc>
          <w:tcPr/>
          <w:p>
            <w:pPr>
              <w:pStyle w:val="Compact"/>
            </w:pPr>
            <w:r>
              <w:rPr>
                <w:lang w:val="en"/>
              </w:rPr>
              <w:t xml:space="preserve">Community guidance</w:t>
            </w:r>
          </w:p>
        </w:tc>
        <w:tc>
          <w:tcPr/>
          <w:p>
            <w:pPr>
              <w:pStyle w:val="Compact"/>
            </w:pPr>
            <w:r>
              <w:rPr>
                <w:lang w:val="en"/>
              </w:rPr>
              <w:t xml:space="preserve">Put security requirements in the assistant's standing instructions; vet dependencies; run scanners on the output</w:t>
            </w:r>
          </w:p>
        </w:tc>
        <w:tc>
          <w:tcPr/>
          <w:p>
            <w:pPr>
              <w:pStyle w:val="Compact"/>
            </w:pPr>
            <w:r>
              <w:rPr>
                <w:lang w:val="en"/>
              </w:rPr>
              <w:t xml:space="preserve">Build, verify</w:t>
            </w:r>
          </w:p>
        </w:tc>
        <w:tc>
          <w:tcPr/>
          <w:p>
            <w:pPr>
              <w:pStyle w:val="Compact"/>
            </w:pPr>
            <w:hyperlink r:id="rId26">
              <w:r>
                <w:rPr>
                  <w:rStyle w:val="Hyperlink"/>
                  <w:lang w:val="en"/>
                </w:rPr>
                <w:t xml:space="preserve">Coding agents</w:t>
              </w:r>
            </w:hyperlink>
          </w:p>
        </w:tc>
      </w:tr>
      <w:tr>
        <w:tc>
          <w:tcPr/>
          <w:p>
            <w:pPr>
              <w:pStyle w:val="Compact"/>
            </w:pPr>
            <w:r>
              <w:rPr>
                <w:lang w:val="en"/>
              </w:rPr>
              <w:t xml:space="preserve">WCAG 2.2</w:t>
            </w:r>
            <w:hyperlink w:anchor="fn:wcag">
              <w:r>
                <w:rPr>
                  <w:rStyle w:val="Hyperlink"/>
                  <w:vertAlign w:val="superscript"/>
                  <w:lang w:val="en"/>
                </w:rPr>
                <w:t xml:space="preserve">17</w:t>
              </w:r>
            </w:hyperlink>
          </w:p>
        </w:tc>
        <w:tc>
          <w:tcPr/>
          <w:p>
            <w:pPr>
              <w:pStyle w:val="Compact"/>
            </w:pPr>
            <w:r>
              <w:rPr>
                <w:lang w:val="en"/>
              </w:rPr>
              <w:t xml:space="preserve">W3C Recommendation, Oct 2023, updated Dec 2024</w:t>
            </w:r>
          </w:p>
        </w:tc>
        <w:tc>
          <w:tcPr/>
          <w:p>
            <w:pPr>
              <w:pStyle w:val="Compact"/>
            </w:pPr>
            <w:r>
              <w:rPr>
                <w:lang w:val="en"/>
              </w:rPr>
              <w:t xml:space="preserve">Referenced by law in some places (often at 2.1 AA)</w:t>
            </w:r>
          </w:p>
        </w:tc>
        <w:tc>
          <w:tcPr/>
          <w:p>
            <w:pPr>
              <w:pStyle w:val="Compact"/>
            </w:pPr>
            <w:r>
              <w:rPr>
                <w:lang w:val="en"/>
              </w:rPr>
              <w:t xml:space="preserve">Level A and AA success criteria, including six new A and AA criteria in 2.2 (four at AA: focus not obscured, dragging, target size, accessible authentication; two at A: consistent help, redundant entry)</w:t>
            </w:r>
          </w:p>
        </w:tc>
        <w:tc>
          <w:tcPr/>
          <w:p>
            <w:pPr>
              <w:pStyle w:val="Compact"/>
            </w:pPr>
            <w:r>
              <w:rPr>
                <w:lang w:val="en"/>
              </w:rPr>
              <w:t xml:space="preserve">Build, verify</w:t>
            </w:r>
          </w:p>
        </w:tc>
        <w:tc>
          <w:tcPr/>
          <w:p>
            <w:pPr>
              <w:pStyle w:val="Compact"/>
            </w:pPr>
            <w:hyperlink r:id="rId29">
              <w:r>
                <w:rPr>
                  <w:rStyle w:val="Hyperlink"/>
                  <w:lang w:val="en"/>
                </w:rPr>
                <w:t xml:space="preserve">Production readiness: accessibility</w:t>
              </w:r>
            </w:hyperlink>
          </w:p>
        </w:tc>
      </w:tr>
    </w:tbl>
    <w:p>
      <w:pPr>
        <w:pStyle w:val="BodyText"/>
      </w:pPr>
      <w:hyperlink r:id="rId30">
        <w:r>
          <w:rPr>
            <w:rStyle w:val="Hyperlink"/>
            <w:lang w:val="en"/>
          </w:rPr>
          <w:t xml:space="preserve">Download the crosswalk as CSV</w:t>
        </w:r>
      </w:hyperlink>
      <w:r>
        <w:rPr>
          <w:lang w:val="en"/>
        </w:rPr>
        <w:t xml:space="preserve"> </w:t>
      </w:r>
      <w:r>
        <w:rPr>
          <w:lang w:val="en"/>
        </w:rPr>
        <w:t xml:space="preserve">(updated 2026-10-22), with the same columns plus each page's full URL.</w:t>
      </w:r>
      <w:r>
        <w:rPr>
          <w:lang w:val="en"/>
        </w:rPr>
        <w:t xml:space="preserve"> </w:t>
      </w:r>
      <w:r>
        <w:rPr>
          <w:i/>
          <w:iCs/>
          <w:lang w:val="en"/>
        </w:rPr>
        <w:t xml:space="preserve">Prompt to Prototype, Standards crosswalk for worker-built apps, https://prompt-to-prototype.com/governance/standards/#crosswalk, as of 2026-10-22. Licensed CC BY-SA 4.0.</w:t>
      </w:r>
      <w:r>
        <w:rPr>
          <w:lang w:val="en"/>
        </w:rPr>
        <w:t xml:space="preserve"> </w:t>
      </w:r>
      <w:r>
        <w:rPr>
          <w:lang w:val="en"/>
        </w:rPr>
        <w:t xml:space="preserve">CC BY-SA 4.0's conditions apply when you share the material, which the license defines as providing it to the public. Using or adapting it inside your business usually isn't sharing; if you give your version to anyone outside the business, keep this credit line and license your changes under CC BY-SA 4.0. If the file and this page differ, the page wins.</w:t>
      </w:r>
    </w:p>
    <w:p>
      <w:pPr>
        <w:pStyle w:val="BodyText"/>
      </w:pPr>
      <w:r>
        <w:rPr>
          <w:lang w:val="en"/>
        </w:rPr>
        <w:t xml:space="preserve">Other government and industry texts are useful references but aren't part of the core stack: CISA's Secure by Design principles, aimed at software manufacturers and read here as "secure by default paved road",</w:t>
      </w:r>
      <w:hyperlink w:anchor="fn:cisa">
        <w:r>
          <w:rPr>
            <w:rStyle w:val="Hyperlink"/>
            <w:vertAlign w:val="superscript"/>
            <w:lang w:val="en"/>
          </w:rPr>
          <w:t xml:space="preserve">18</w:t>
        </w:r>
      </w:hyperlink>
      <w:r>
        <w:rPr>
          <w:lang w:val="en"/>
        </w:rPr>
        <w:t xml:space="preserve"> </w:t>
      </w:r>
      <w:r>
        <w:rPr>
          <w:lang w:val="en"/>
        </w:rPr>
        <w:t xml:space="preserve">and Singapore IMDA's Model AI Governance Framework for Agentic AI (v1.5, May 2026), a practical government text on bounding agents.</w:t>
      </w:r>
      <w:hyperlink w:anchor="fn:imda">
        <w:r>
          <w:rPr>
            <w:rStyle w:val="Hyperlink"/>
            <w:vertAlign w:val="superscript"/>
            <w:lang w:val="en"/>
          </w:rPr>
          <w:t xml:space="preserve">19</w:t>
        </w:r>
      </w:hyperlink>
    </w:p>
    <w:p>
      <w:pPr>
        <w:pStyle w:val="BodyText"/>
      </w:pPr>
      <w:r>
        <w:rPr>
          <w:b/>
          <w:bCs/>
          <w:lang w:val="en"/>
        </w:rPr>
        <w:t xml:space="preserve">Don't: use the 2023 OWASP LLM list</w:t>
      </w:r>
    </w:p>
    <w:p>
      <w:pPr>
        <w:pStyle w:val="BodyText"/>
      </w:pPr>
      <w:r>
        <w:rPr>
          <w:lang w:val="en"/>
        </w:rPr>
        <w:t xml:space="preserve">The 2023 list (insecure output handling, training-data poisoning, model denial of service, insecure plugin design, overreliance, model theft) was replaced by the 2025 edition, which adds system prompt leakage, vector and embedding weaknesses, misinformation and unbounded consumption.</w:t>
      </w:r>
      <w:hyperlink w:anchor="fn:owaspllm">
        <w:r>
          <w:rPr>
            <w:rStyle w:val="Hyperlink"/>
            <w:vertAlign w:val="superscript"/>
            <w:lang w:val="en"/>
          </w:rPr>
          <w:t xml:space="preserve">12</w:t>
        </w:r>
      </w:hyperlink>
      <w:r>
        <w:rPr>
          <w:lang w:val="en"/>
        </w:rPr>
        <w:t xml:space="preserve"> </w:t>
      </w:r>
      <w:r>
        <w:rPr>
          <w:lang w:val="en"/>
        </w:rPr>
        <w:t xml:space="preserve">Checklists built on the old list miss current risks.</w:t>
      </w:r>
    </w:p>
    <w:p>
      <w:pPr>
        <w:pStyle w:val="BodyText"/>
      </w:pPr>
      <w:r>
        <w:rPr>
          <w:b/>
          <w:bCs/>
          <w:lang w:val="en"/>
        </w:rPr>
        <w:t xml:space="preserve">Don't: cite SP 800-218A for using AI to write code</w:t>
      </w:r>
    </w:p>
    <w:p>
      <w:pPr>
        <w:pStyle w:val="BodyText"/>
      </w:pPr>
      <w:r>
        <w:rPr>
          <w:lang w:val="en"/>
        </w:rPr>
        <w:t xml:space="preserve">SP 800-218A is for organizations that produce generative AI models and systems: training data, model weights, provenance.</w:t>
      </w:r>
      <w:hyperlink w:anchor="fn:ssdf218a">
        <w:r>
          <w:rPr>
            <w:rStyle w:val="Hyperlink"/>
            <w:vertAlign w:val="superscript"/>
            <w:lang w:val="en"/>
          </w:rPr>
          <w:t xml:space="preserve">6</w:t>
        </w:r>
      </w:hyperlink>
      <w:r>
        <w:rPr>
          <w:lang w:val="en"/>
        </w:rPr>
        <w:t xml:space="preserve"> </w:t>
      </w:r>
      <w:r>
        <w:rPr>
          <w:lang w:val="en"/>
        </w:rPr>
        <w:t xml:space="preserve">It gives no guidance on staff using AI to write code. For that, use the SSDF itself and the OpenSSF guide.</w:t>
      </w:r>
    </w:p>
    <w:bookmarkEnd w:id="31"/>
    <w:bookmarkStart w:id="39" w:name="reuse-what-you-already-have"/>
    <w:p>
      <w:pPr>
        <w:pStyle w:val="Heading2"/>
      </w:pPr>
      <w:r>
        <w:rPr>
          <w:lang w:val="en"/>
        </w:rPr>
        <w:t xml:space="preserve">Reuse what you already have</w:t>
      </w:r>
    </w:p>
    <w:p>
      <w:pPr>
        <w:pStyle w:val="FirstParagraph"/>
      </w:pPr>
      <w:r>
        <w:rPr>
          <w:lang w:val="en"/>
        </w:rPr>
        <w:t xml:space="preserve">Most of what this framework asks for is a control you already report on, applied to apps that were outside its reach. The table shows which framework clauses each gate or record supports, so you can extend existing evidence instead of writing new policies. "Supports" means the gate produces evidence for that control. It doesn't mean the control is met; your auditor or assessor judges that.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en"/>
              </w:rPr>
              <w:t xml:space="preserve">This framework's gate or record</w:t>
            </w:r>
          </w:p>
        </w:tc>
        <w:tc>
          <w:tcPr/>
          <w:p>
            <w:pPr>
              <w:pStyle w:val="Compact"/>
            </w:pPr>
            <w:r>
              <w:rPr>
                <w:lang w:val="en"/>
              </w:rPr>
              <w:t xml:space="preserve">NIST CSF 2.0</w:t>
            </w:r>
          </w:p>
        </w:tc>
        <w:tc>
          <w:tcPr/>
          <w:p>
            <w:pPr>
              <w:pStyle w:val="Compact"/>
            </w:pPr>
            <w:r>
              <w:rPr>
                <w:lang w:val="en"/>
              </w:rPr>
              <w:t xml:space="preserve">ISO/IEC 27001:2022 Annex A</w:t>
            </w:r>
          </w:p>
        </w:tc>
        <w:tc>
          <w:tcPr/>
          <w:p>
            <w:pPr>
              <w:pStyle w:val="Compact"/>
            </w:pPr>
            <w:r>
              <w:rPr>
                <w:lang w:val="en"/>
              </w:rPr>
              <w:t xml:space="preserve">SOC 2</w:t>
            </w:r>
          </w:p>
        </w:tc>
        <w:tc>
          <w:tcPr/>
          <w:p>
            <w:pPr>
              <w:pStyle w:val="Compact"/>
            </w:pPr>
            <w:r>
              <w:rPr>
                <w:lang w:val="en"/>
              </w:rPr>
              <w:t xml:space="preserve">ISO/IEC 42001 / AI RMF</w:t>
            </w:r>
          </w:p>
        </w:tc>
        <w:tc>
          <w:tcPr/>
          <w:p>
            <w:pPr>
              <w:pStyle w:val="Compact"/>
            </w:pPr>
            <w:r>
              <w:rPr>
                <w:lang w:val="en"/>
              </w:rPr>
              <w:t xml:space="preserve">Build standards and PCI DSS</w:t>
            </w:r>
          </w:p>
        </w:tc>
      </w:tr>
      <w:tr>
        <w:tc>
          <w:tcPr/>
          <w:p>
            <w:pPr>
              <w:pStyle w:val="Compact"/>
            </w:pPr>
            <w:hyperlink r:id="rId32">
              <w:r>
                <w:rPr>
                  <w:rStyle w:val="Hyperlink"/>
                  <w:lang w:val="en"/>
                </w:rPr>
                <w:t xml:space="preserve">App registry</w:t>
              </w:r>
            </w:hyperlink>
            <w:r>
              <w:rPr>
                <w:lang w:val="en"/>
              </w:rPr>
              <w:t xml:space="preserve"> </w:t>
            </w:r>
            <w:r>
              <w:rPr>
                <w:lang w:val="en"/>
              </w:rPr>
              <w:t xml:space="preserve">and discovery</w:t>
            </w:r>
          </w:p>
        </w:tc>
        <w:tc>
          <w:tcPr/>
          <w:p>
            <w:pPr>
              <w:pStyle w:val="Compact"/>
            </w:pPr>
            <w:r>
              <w:rPr>
                <w:lang w:val="en"/>
              </w:rPr>
              <w:t xml:space="preserve">ID.AM-02 (software and services), ID.AM-07 (data)</w:t>
            </w:r>
          </w:p>
        </w:tc>
        <w:tc>
          <w:tcPr/>
          <w:p>
            <w:pPr>
              <w:pStyle w:val="Compact"/>
            </w:pPr>
            <w:r>
              <w:rPr>
                <w:lang w:val="en"/>
              </w:rPr>
              <w:t xml:space="preserve">5.9 (inventory)</w:t>
            </w:r>
          </w:p>
        </w:tc>
        <w:tc>
          <w:tcPr/>
          <w:p>
            <w:pPr>
              <w:pStyle w:val="Compact"/>
            </w:pPr>
            <w:r>
              <w:rPr>
                <w:lang w:val="en"/>
              </w:rPr>
              <w:t xml:space="preserve">CC6.1 (inventory point of focus)</w:t>
            </w:r>
          </w:p>
        </w:tc>
        <w:tc>
          <w:tcPr/>
          <w:p>
            <w:pPr>
              <w:pStyle w:val="Compact"/>
            </w:pPr>
            <w:r>
              <w:rPr>
                <w:lang w:val="en"/>
              </w:rPr>
              <w:t xml:space="preserve">AI RMF GOVERN 1.6 (AI system inventory; AI features only)</w:t>
            </w:r>
          </w:p>
        </w:tc>
        <w:tc>
          <w:tcPr/>
          <w:p>
            <w:pPr>
              <w:pStyle w:val="Compact"/>
            </w:pPr>
            <w:r>
              <w:rPr>
                <w:lang w:val="en"/>
              </w:rPr>
              <w:t xml:space="preserve">CD-SEC-09 (asset management)</w:t>
            </w:r>
          </w:p>
        </w:tc>
      </w:tr>
      <w:tr>
        <w:tc>
          <w:tcPr/>
          <w:p>
            <w:pPr>
              <w:pStyle w:val="Compact"/>
            </w:pPr>
            <w:hyperlink r:id="rId19">
              <w:r>
                <w:rPr>
                  <w:rStyle w:val="Hyperlink"/>
                  <w:lang w:val="en"/>
                </w:rPr>
                <w:t xml:space="preserve">Intake</w:t>
              </w:r>
            </w:hyperlink>
            <w:r>
              <w:rPr>
                <w:lang w:val="en"/>
              </w:rPr>
              <w:t xml:space="preserve"> </w:t>
            </w:r>
            <w:r>
              <w:rPr>
                <w:lang w:val="en"/>
              </w:rPr>
              <w:t xml:space="preserve">and the six tier questions</w:t>
            </w:r>
          </w:p>
        </w:tc>
        <w:tc>
          <w:tcPr/>
          <w:p>
            <w:pPr>
              <w:pStyle w:val="Compact"/>
            </w:pPr>
            <w:r>
              <w:rPr>
                <w:lang w:val="en"/>
              </w:rPr>
              <w:t xml:space="preserve">ID.RA, GV.OC-03</w:t>
            </w:r>
          </w:p>
        </w:tc>
        <w:tc>
          <w:tcPr/>
          <w:p>
            <w:pPr>
              <w:pStyle w:val="Compact"/>
            </w:pPr>
            <w:r>
              <w:rPr>
                <w:lang w:val="en"/>
              </w:rPr>
              <w:t xml:space="preserve">5.12 (classification)</w:t>
            </w:r>
          </w:p>
        </w:tc>
        <w:tc>
          <w:tcPr/>
          <w:p>
            <w:pPr>
              <w:pStyle w:val="Compact"/>
            </w:pPr>
            <w:r>
              <w:rPr>
                <w:lang w:val="en"/>
              </w:rPr>
              <w:t xml:space="preserve">CC3.2, CC3.4</w:t>
            </w:r>
          </w:p>
        </w:tc>
        <w:tc>
          <w:tcPr/>
          <w:p>
            <w:pPr>
              <w:pStyle w:val="Compact"/>
            </w:pPr>
            <w:r>
              <w:rPr>
                <w:lang w:val="en"/>
              </w:rPr>
              <w:t xml:space="preserve">42001 A.5 (impact assessment) and AI RMF MAP 1.1, partial: AI features only</w:t>
            </w:r>
          </w:p>
        </w:tc>
        <w:tc>
          <w:tcPr/>
          <w:p>
            <w:pPr>
              <w:pStyle w:val="Compact"/>
            </w:pPr>
            <w:r>
              <w:rPr>
                <w:lang w:val="en"/>
              </w:rPr>
              <w:t xml:space="preserve">n/a</w:t>
            </w:r>
          </w:p>
        </w:tc>
      </w:tr>
      <w:tr>
        <w:tc>
          <w:tcPr/>
          <w:p>
            <w:pPr>
              <w:pStyle w:val="Compact"/>
            </w:pPr>
            <w:hyperlink r:id="rId33">
              <w:r>
                <w:rPr>
                  <w:rStyle w:val="Hyperlink"/>
                  <w:lang w:val="en"/>
                </w:rPr>
                <w:t xml:space="preserve">Approved tools</w:t>
              </w:r>
            </w:hyperlink>
            <w:r>
              <w:rPr>
                <w:lang w:val="en"/>
              </w:rPr>
              <w:t xml:space="preserve"> </w:t>
            </w:r>
            <w:r>
              <w:rPr>
                <w:lang w:val="en"/>
              </w:rPr>
              <w:t xml:space="preserve">and contract terms</w:t>
            </w:r>
          </w:p>
        </w:tc>
        <w:tc>
          <w:tcPr/>
          <w:p>
            <w:pPr>
              <w:pStyle w:val="Compact"/>
            </w:pPr>
            <w:r>
              <w:rPr>
                <w:lang w:val="en"/>
              </w:rPr>
              <w:t xml:space="preserve">GV.SC-05</w:t>
            </w:r>
          </w:p>
        </w:tc>
        <w:tc>
          <w:tcPr/>
          <w:p>
            <w:pPr>
              <w:pStyle w:val="Compact"/>
            </w:pPr>
            <w:r>
              <w:rPr>
                <w:lang w:val="en"/>
              </w:rPr>
              <w:t xml:space="preserve">5.19–5.23 (suppliers)</w:t>
            </w:r>
          </w:p>
        </w:tc>
        <w:tc>
          <w:tcPr/>
          <w:p>
            <w:pPr>
              <w:pStyle w:val="Compact"/>
            </w:pPr>
            <w:r>
              <w:rPr>
                <w:lang w:val="en"/>
              </w:rPr>
              <w:t xml:space="preserve">CC9.2</w:t>
            </w:r>
          </w:p>
        </w:tc>
        <w:tc>
          <w:tcPr/>
          <w:p>
            <w:pPr>
              <w:pStyle w:val="Compact"/>
            </w:pPr>
            <w:r>
              <w:rPr>
                <w:lang w:val="en"/>
              </w:rPr>
              <w:t xml:space="preserve">42001 A.10.3 (AI suppliers; if you run an AI management system)</w:t>
            </w:r>
          </w:p>
        </w:tc>
        <w:tc>
          <w:tcPr/>
          <w:p>
            <w:pPr>
              <w:pStyle w:val="Compact"/>
            </w:pPr>
            <w:r>
              <w:rPr>
                <w:lang w:val="en"/>
              </w:rPr>
              <w:t xml:space="preserve">PCI DSS Req. 12.8</w:t>
            </w:r>
          </w:p>
        </w:tc>
      </w:tr>
      <w:tr>
        <w:tc>
          <w:tcPr/>
          <w:p>
            <w:pPr>
              <w:pStyle w:val="Compact"/>
            </w:pPr>
            <w:r>
              <w:rPr>
                <w:lang w:val="en"/>
              </w:rPr>
              <w:t xml:space="preserve">SSO, deny-by-default data rules, access reviews</w:t>
            </w:r>
          </w:p>
        </w:tc>
        <w:tc>
          <w:tcPr/>
          <w:p>
            <w:pPr>
              <w:pStyle w:val="Compact"/>
            </w:pPr>
            <w:r>
              <w:rPr>
                <w:lang w:val="en"/>
              </w:rPr>
              <w:t xml:space="preserve">PR.AA-05</w:t>
            </w:r>
          </w:p>
        </w:tc>
        <w:tc>
          <w:tcPr/>
          <w:p>
            <w:pPr>
              <w:pStyle w:val="Compact"/>
            </w:pPr>
            <w:r>
              <w:rPr>
                <w:lang w:val="en"/>
              </w:rPr>
              <w:t xml:space="preserve">5.15, 5.18 (access)</w:t>
            </w:r>
          </w:p>
        </w:tc>
        <w:tc>
          <w:tcPr/>
          <w:p>
            <w:pPr>
              <w:pStyle w:val="Compact"/>
            </w:pPr>
            <w:r>
              <w:rPr>
                <w:lang w:val="en"/>
              </w:rPr>
              <w:t xml:space="preserve">CC6.1–CC6.3</w:t>
            </w:r>
          </w:p>
        </w:tc>
        <w:tc>
          <w:tcPr/>
          <w:p>
            <w:pPr>
              <w:pStyle w:val="Compact"/>
            </w:pPr>
            <w:r>
              <w:rPr>
                <w:lang w:val="en"/>
              </w:rPr>
              <w:t xml:space="preserve">n/a</w:t>
            </w:r>
          </w:p>
        </w:tc>
        <w:tc>
          <w:tcPr/>
          <w:p>
            <w:pPr>
              <w:pStyle w:val="Compact"/>
            </w:pPr>
            <w:r>
              <w:rPr>
                <w:lang w:val="en"/>
              </w:rPr>
              <w:t xml:space="preserve">PCI DSS Req. 7, 8</w:t>
            </w:r>
          </w:p>
        </w:tc>
      </w:tr>
      <w:tr>
        <w:tc>
          <w:tcPr/>
          <w:p>
            <w:pPr>
              <w:pStyle w:val="Compact"/>
            </w:pPr>
            <w:r>
              <w:rPr>
                <w:lang w:val="en"/>
              </w:rPr>
              <w:t xml:space="preserve">Tests,</w:t>
            </w:r>
            <w:r>
              <w:rPr>
                <w:lang w:val="en"/>
              </w:rPr>
              <w:t xml:space="preserve"> </w:t>
            </w:r>
            <w:hyperlink r:id="rId34">
              <w:r>
                <w:rPr>
                  <w:rStyle w:val="Hyperlink"/>
                  <w:lang w:val="en"/>
                </w:rPr>
                <w:t xml:space="preserve">verify</w:t>
              </w:r>
            </w:hyperlink>
            <w:r>
              <w:rPr>
                <w:lang w:val="en"/>
              </w:rPr>
              <w:t xml:space="preserve">, technical check</w:t>
            </w:r>
          </w:p>
        </w:tc>
        <w:tc>
          <w:tcPr/>
          <w:p>
            <w:pPr>
              <w:pStyle w:val="Compact"/>
            </w:pPr>
            <w:r>
              <w:rPr>
                <w:lang w:val="en"/>
              </w:rPr>
              <w:t xml:space="preserve">PR.PS-06</w:t>
            </w:r>
          </w:p>
        </w:tc>
        <w:tc>
          <w:tcPr/>
          <w:p>
            <w:pPr>
              <w:pStyle w:val="Compact"/>
            </w:pPr>
            <w:r>
              <w:rPr>
                <w:lang w:val="en"/>
              </w:rPr>
              <w:t xml:space="preserve">8.25, 8.29 (secure development, testing)</w:t>
            </w:r>
          </w:p>
        </w:tc>
        <w:tc>
          <w:tcPr/>
          <w:p>
            <w:pPr>
              <w:pStyle w:val="Compact"/>
            </w:pPr>
            <w:r>
              <w:rPr>
                <w:lang w:val="en"/>
              </w:rPr>
              <w:t xml:space="preserve">CC8.1</w:t>
            </w:r>
          </w:p>
        </w:tc>
        <w:tc>
          <w:tcPr/>
          <w:p>
            <w:pPr>
              <w:pStyle w:val="Compact"/>
            </w:pPr>
            <w:r>
              <w:rPr>
                <w:lang w:val="en"/>
              </w:rPr>
              <w:t xml:space="preserve">42001 A.6.2.4 and AI RMF MEASURE 2.5, partial: AI features only</w:t>
            </w:r>
          </w:p>
        </w:tc>
        <w:tc>
          <w:tcPr/>
          <w:p>
            <w:pPr>
              <w:pStyle w:val="Compact"/>
            </w:pPr>
            <w:r>
              <w:rPr>
                <w:lang w:val="en"/>
              </w:rPr>
              <w:t xml:space="preserve">SSDF PW.7, PW.8</w:t>
            </w:r>
          </w:p>
        </w:tc>
      </w:tr>
      <w:tr>
        <w:tc>
          <w:tcPr/>
          <w:p>
            <w:pPr>
              <w:pStyle w:val="Compact"/>
            </w:pPr>
            <w:r>
              <w:rPr>
                <w:lang w:val="en"/>
              </w:rPr>
              <w:t xml:space="preserve">Change history and</w:t>
            </w:r>
            <w:r>
              <w:rPr>
                <w:lang w:val="en"/>
              </w:rPr>
              <w:t xml:space="preserve"> </w:t>
            </w:r>
            <w:hyperlink r:id="rId18">
              <w:r>
                <w:rPr>
                  <w:rStyle w:val="Hyperlink"/>
                  <w:lang w:val="en"/>
                </w:rPr>
                <w:t xml:space="preserve">change review</w:t>
              </w:r>
            </w:hyperlink>
          </w:p>
        </w:tc>
        <w:tc>
          <w:tcPr/>
          <w:p>
            <w:pPr>
              <w:pStyle w:val="Compact"/>
            </w:pPr>
            <w:r>
              <w:rPr>
                <w:lang w:val="en"/>
              </w:rPr>
              <w:t xml:space="preserve">ID.RA-07 (changes managed and recorded), PR.PS-01 (configuration management)</w:t>
            </w:r>
          </w:p>
        </w:tc>
        <w:tc>
          <w:tcPr/>
          <w:p>
            <w:pPr>
              <w:pStyle w:val="Compact"/>
            </w:pPr>
            <w:r>
              <w:rPr>
                <w:lang w:val="en"/>
              </w:rPr>
              <w:t xml:space="preserve">8.32 (change management)</w:t>
            </w:r>
          </w:p>
        </w:tc>
        <w:tc>
          <w:tcPr/>
          <w:p>
            <w:pPr>
              <w:pStyle w:val="Compact"/>
            </w:pPr>
            <w:r>
              <w:rPr>
                <w:lang w:val="en"/>
              </w:rPr>
              <w:t xml:space="preserve">CC8.1</w:t>
            </w:r>
          </w:p>
        </w:tc>
        <w:tc>
          <w:tcPr/>
          <w:p>
            <w:pPr>
              <w:pStyle w:val="Compact"/>
            </w:pPr>
            <w:r>
              <w:rPr>
                <w:lang w:val="en"/>
              </w:rPr>
              <w:t xml:space="preserve">n/a</w:t>
            </w:r>
          </w:p>
        </w:tc>
        <w:tc>
          <w:tcPr/>
          <w:p>
            <w:pPr>
              <w:pStyle w:val="Compact"/>
            </w:pPr>
            <w:r>
              <w:rPr>
                <w:lang w:val="en"/>
              </w:rPr>
              <w:t xml:space="preserve">SSDF PS.1; SLSA Source track</w:t>
            </w:r>
          </w:p>
        </w:tc>
      </w:tr>
      <w:tr>
        <w:tc>
          <w:tcPr/>
          <w:p>
            <w:pPr>
              <w:pStyle w:val="Compact"/>
            </w:pPr>
            <w:r>
              <w:rPr>
                <w:lang w:val="en"/>
              </w:rPr>
              <w:t xml:space="preserve">Dependency and license checks</w:t>
            </w:r>
          </w:p>
        </w:tc>
        <w:tc>
          <w:tcPr/>
          <w:p>
            <w:pPr>
              <w:pStyle w:val="Compact"/>
            </w:pPr>
            <w:r>
              <w:rPr>
                <w:lang w:val="en"/>
              </w:rPr>
              <w:t xml:space="preserve">GV.SC</w:t>
            </w:r>
          </w:p>
        </w:tc>
        <w:tc>
          <w:tcPr/>
          <w:p>
            <w:pPr>
              <w:pStyle w:val="Compact"/>
            </w:pPr>
            <w:r>
              <w:rPr>
                <w:lang w:val="en"/>
              </w:rPr>
              <w:t xml:space="preserve">5.32 (IP rights), 8.28 (secure coding, external libraries)</w:t>
            </w:r>
          </w:p>
        </w:tc>
        <w:tc>
          <w:tcPr/>
          <w:p>
            <w:pPr>
              <w:pStyle w:val="Compact"/>
            </w:pPr>
            <w:r>
              <w:rPr>
                <w:lang w:val="en"/>
              </w:rPr>
              <w:t xml:space="preserve">CC8.1</w:t>
            </w:r>
          </w:p>
        </w:tc>
        <w:tc>
          <w:tcPr/>
          <w:p>
            <w:pPr>
              <w:pStyle w:val="Compact"/>
            </w:pPr>
            <w:r>
              <w:rPr>
                <w:lang w:val="en"/>
              </w:rPr>
              <w:t xml:space="preserve">n/a</w:t>
            </w:r>
          </w:p>
        </w:tc>
        <w:tc>
          <w:tcPr/>
          <w:p>
            <w:pPr>
              <w:pStyle w:val="Compact"/>
            </w:pPr>
            <w:r>
              <w:rPr>
                <w:lang w:val="en"/>
              </w:rPr>
              <w:t xml:space="preserve">SSDF PW.4.1, PW.4.4, PS.3.2</w:t>
            </w:r>
          </w:p>
        </w:tc>
      </w:tr>
      <w:tr>
        <w:tc>
          <w:tcPr/>
          <w:p>
            <w:pPr>
              <w:pStyle w:val="Compact"/>
            </w:pPr>
            <w:r>
              <w:rPr>
                <w:lang w:val="en"/>
              </w:rPr>
              <w:t xml:space="preserve">Exposure scan and logging</w:t>
            </w:r>
          </w:p>
        </w:tc>
        <w:tc>
          <w:tcPr/>
          <w:p>
            <w:pPr>
              <w:pStyle w:val="Compact"/>
            </w:pPr>
            <w:r>
              <w:rPr>
                <w:lang w:val="en"/>
              </w:rPr>
              <w:t xml:space="preserve">DE.CM</w:t>
            </w:r>
          </w:p>
        </w:tc>
        <w:tc>
          <w:tcPr/>
          <w:p>
            <w:pPr>
              <w:pStyle w:val="Compact"/>
            </w:pPr>
            <w:r>
              <w:rPr>
                <w:lang w:val="en"/>
              </w:rPr>
              <w:t xml:space="preserve">8.15, 8.16 (logging, monitoring)</w:t>
            </w:r>
          </w:p>
        </w:tc>
        <w:tc>
          <w:tcPr/>
          <w:p>
            <w:pPr>
              <w:pStyle w:val="Compact"/>
            </w:pPr>
            <w:r>
              <w:rPr>
                <w:lang w:val="en"/>
              </w:rPr>
              <w:t xml:space="preserve">CC7.1, CC7.2</w:t>
            </w:r>
          </w:p>
        </w:tc>
        <w:tc>
          <w:tcPr/>
          <w:p>
            <w:pPr>
              <w:pStyle w:val="Compact"/>
            </w:pPr>
            <w:r>
              <w:rPr>
                <w:lang w:val="en"/>
              </w:rPr>
              <w:t xml:space="preserve">n/a</w:t>
            </w:r>
          </w:p>
        </w:tc>
        <w:tc>
          <w:tcPr/>
          <w:p>
            <w:pPr>
              <w:pStyle w:val="Compact"/>
            </w:pPr>
            <w:r>
              <w:rPr>
                <w:lang w:val="en"/>
              </w:rPr>
              <w:t xml:space="preserve">PCI DSS Req. 10, 11</w:t>
            </w:r>
          </w:p>
        </w:tc>
      </w:tr>
      <w:tr>
        <w:tc>
          <w:tcPr/>
          <w:p>
            <w:pPr>
              <w:pStyle w:val="Compact"/>
            </w:pPr>
            <w:r>
              <w:rPr>
                <w:lang w:val="en"/>
              </w:rPr>
              <w:t xml:space="preserve">Incident routing from the registry</w:t>
            </w:r>
          </w:p>
        </w:tc>
        <w:tc>
          <w:tcPr/>
          <w:p>
            <w:pPr>
              <w:pStyle w:val="Compact"/>
            </w:pPr>
            <w:r>
              <w:rPr>
                <w:lang w:val="en"/>
              </w:rPr>
              <w:t xml:space="preserve">RS.MA, RS.CO-02/03</w:t>
            </w:r>
          </w:p>
        </w:tc>
        <w:tc>
          <w:tcPr/>
          <w:p>
            <w:pPr>
              <w:pStyle w:val="Compact"/>
            </w:pPr>
            <w:r>
              <w:rPr>
                <w:lang w:val="en"/>
              </w:rPr>
              <w:t xml:space="preserve">5.24–5.28</w:t>
            </w:r>
          </w:p>
        </w:tc>
        <w:tc>
          <w:tcPr/>
          <w:p>
            <w:pPr>
              <w:pStyle w:val="Compact"/>
            </w:pPr>
            <w:r>
              <w:rPr>
                <w:lang w:val="en"/>
              </w:rPr>
              <w:t xml:space="preserve">CC7.3–CC7.5</w:t>
            </w:r>
          </w:p>
        </w:tc>
        <w:tc>
          <w:tcPr/>
          <w:p>
            <w:pPr>
              <w:pStyle w:val="Compact"/>
            </w:pPr>
            <w:r>
              <w:rPr>
                <w:lang w:val="en"/>
              </w:rPr>
              <w:t xml:space="preserve">n/a</w:t>
            </w:r>
          </w:p>
        </w:tc>
        <w:tc>
          <w:tcPr/>
          <w:p>
            <w:pPr>
              <w:pStyle w:val="Compact"/>
            </w:pPr>
            <w:r>
              <w:rPr>
                <w:lang w:val="en"/>
              </w:rPr>
              <w:t xml:space="preserve">PCI DSS Req. 12.10</w:t>
            </w:r>
          </w:p>
        </w:tc>
      </w:tr>
      <w:tr>
        <w:tc>
          <w:tcPr/>
          <w:p>
            <w:pPr>
              <w:pStyle w:val="Compact"/>
            </w:pPr>
            <w:hyperlink r:id="rId35">
              <w:r>
                <w:rPr>
                  <w:rStyle w:val="Hyperlink"/>
                  <w:lang w:val="en"/>
                </w:rPr>
                <w:t xml:space="preserve">Owner-leaves check</w:t>
              </w:r>
            </w:hyperlink>
          </w:p>
        </w:tc>
        <w:tc>
          <w:tcPr/>
          <w:p>
            <w:pPr>
              <w:pStyle w:val="Compact"/>
            </w:pPr>
            <w:r>
              <w:rPr>
                <w:lang w:val="en"/>
              </w:rPr>
              <w:t xml:space="preserve">PR.AA</w:t>
            </w:r>
          </w:p>
        </w:tc>
        <w:tc>
          <w:tcPr/>
          <w:p>
            <w:pPr>
              <w:pStyle w:val="Compact"/>
            </w:pPr>
            <w:r>
              <w:rPr>
                <w:lang w:val="en"/>
              </w:rPr>
              <w:t xml:space="preserve">5.18 (access rights), 6.5 (responsibilities after termination or change)</w:t>
            </w:r>
          </w:p>
        </w:tc>
        <w:tc>
          <w:tcPr/>
          <w:p>
            <w:pPr>
              <w:pStyle w:val="Compact"/>
            </w:pPr>
            <w:r>
              <w:rPr>
                <w:lang w:val="en"/>
              </w:rPr>
              <w:t xml:space="preserve">CC6.2</w:t>
            </w:r>
          </w:p>
        </w:tc>
        <w:tc>
          <w:tcPr/>
          <w:p>
            <w:pPr>
              <w:pStyle w:val="Compact"/>
            </w:pPr>
            <w:r>
              <w:rPr>
                <w:lang w:val="en"/>
              </w:rPr>
              <w:t xml:space="preserve">n/a</w:t>
            </w:r>
          </w:p>
        </w:tc>
        <w:tc>
          <w:tcPr/>
          <w:p>
            <w:pPr>
              <w:pStyle w:val="Compact"/>
            </w:pPr>
            <w:r>
              <w:rPr>
                <w:lang w:val="en"/>
              </w:rPr>
              <w:t xml:space="preserve">n/a</w:t>
            </w:r>
          </w:p>
        </w:tc>
      </w:tr>
      <w:tr>
        <w:tc>
          <w:tcPr/>
          <w:p>
            <w:pPr>
              <w:pStyle w:val="Compact"/>
            </w:pPr>
            <w:hyperlink r:id="rId36">
              <w:r>
                <w:rPr>
                  <w:rStyle w:val="Hyperlink"/>
                  <w:lang w:val="en"/>
                </w:rPr>
                <w:t xml:space="preserve">Retirement</w:t>
              </w:r>
            </w:hyperlink>
            <w:r>
              <w:rPr>
                <w:lang w:val="en"/>
              </w:rPr>
              <w:t xml:space="preserve"> </w:t>
            </w:r>
            <w:r>
              <w:rPr>
                <w:lang w:val="en"/>
              </w:rPr>
              <w:t xml:space="preserve">with data disposal</w:t>
            </w:r>
          </w:p>
        </w:tc>
        <w:tc>
          <w:tcPr/>
          <w:p>
            <w:pPr>
              <w:pStyle w:val="Compact"/>
            </w:pPr>
            <w:r>
              <w:rPr>
                <w:lang w:val="en"/>
              </w:rPr>
              <w:t xml:space="preserve">ID.AM-08</w:t>
            </w:r>
          </w:p>
        </w:tc>
        <w:tc>
          <w:tcPr/>
          <w:p>
            <w:pPr>
              <w:pStyle w:val="Compact"/>
            </w:pPr>
            <w:r>
              <w:rPr>
                <w:lang w:val="en"/>
              </w:rPr>
              <w:t xml:space="preserve">8.10 (information deletion)</w:t>
            </w:r>
          </w:p>
        </w:tc>
        <w:tc>
          <w:tcPr/>
          <w:p>
            <w:pPr>
              <w:pStyle w:val="Compact"/>
            </w:pPr>
            <w:r>
              <w:rPr>
                <w:lang w:val="en"/>
              </w:rPr>
              <w:t xml:space="preserve">C1.2</w:t>
            </w:r>
          </w:p>
        </w:tc>
        <w:tc>
          <w:tcPr/>
          <w:p>
            <w:pPr>
              <w:pStyle w:val="Compact"/>
            </w:pPr>
            <w:r>
              <w:rPr>
                <w:lang w:val="en"/>
              </w:rPr>
              <w:t xml:space="preserve">n/a</w:t>
            </w:r>
          </w:p>
        </w:tc>
        <w:tc>
          <w:tcPr/>
          <w:p>
            <w:pPr>
              <w:pStyle w:val="Compact"/>
            </w:pPr>
            <w:r>
              <w:rPr>
                <w:lang w:val="en"/>
              </w:rPr>
              <w:t xml:space="preserve">PCI DSS Req. 3.2.1</w:t>
            </w:r>
          </w:p>
        </w:tc>
      </w:tr>
      <w:tr>
        <w:tc>
          <w:tcPr/>
          <w:p>
            <w:pPr>
              <w:pStyle w:val="Compact"/>
            </w:pPr>
            <w:r>
              <w:rPr>
                <w:lang w:val="en"/>
              </w:rPr>
              <w:t xml:space="preserve">AI feature evals and human review</w:t>
            </w:r>
          </w:p>
        </w:tc>
        <w:tc>
          <w:tcPr/>
          <w:p>
            <w:pPr>
              <w:pStyle w:val="Compact"/>
            </w:pPr>
            <w:r>
              <w:rPr>
                <w:lang w:val="en"/>
              </w:rPr>
              <w:t xml:space="preserve">n/a</w:t>
            </w:r>
          </w:p>
        </w:tc>
        <w:tc>
          <w:tcPr/>
          <w:p>
            <w:pPr>
              <w:pStyle w:val="Compact"/>
            </w:pPr>
            <w:r>
              <w:rPr>
                <w:lang w:val="en"/>
              </w:rPr>
              <w:t xml:space="preserve">n/a</w:t>
            </w:r>
          </w:p>
        </w:tc>
        <w:tc>
          <w:tcPr/>
          <w:p>
            <w:pPr>
              <w:pStyle w:val="Compact"/>
            </w:pPr>
            <w:r>
              <w:rPr>
                <w:lang w:val="en"/>
              </w:rPr>
              <w:t xml:space="preserve">PI1.x where in scope</w:t>
            </w:r>
          </w:p>
        </w:tc>
        <w:tc>
          <w:tcPr/>
          <w:p>
            <w:pPr>
              <w:pStyle w:val="Compact"/>
            </w:pPr>
            <w:r>
              <w:rPr>
                <w:lang w:val="en"/>
              </w:rPr>
              <w:t xml:space="preserve">42001 A.6.2.4, A.9.2–A.9.4 (responsible and intended use); AI RMF MEASURE 2.9, 2.11</w:t>
            </w:r>
          </w:p>
        </w:tc>
        <w:tc>
          <w:tcPr/>
          <w:p>
            <w:pPr>
              <w:pStyle w:val="Compact"/>
            </w:pPr>
            <w:r>
              <w:rPr>
                <w:lang w:val="en"/>
              </w:rPr>
              <w:t xml:space="preserve">OWASP LLM Top 10</w:t>
            </w:r>
          </w:p>
        </w:tc>
      </w:tr>
    </w:tbl>
    <w:p>
      <w:pPr>
        <w:pStyle w:val="BodyText"/>
      </w:pPr>
      <w:r>
        <w:rPr>
          <w:lang w:val="en"/>
        </w:rPr>
        <w:t xml:space="preserve">"Partial" and "AI features only" mean the clause covers part of the gate, or applies only where the app has an AI feature or you run an AI management system; for other apps, don't count it. The control IDs come from each framework's published text or, for paid standards, their published control lists; check them against the edition your auditor uses. Where a gate maps to a law rather than a framework, the</w:t>
      </w:r>
      <w:r>
        <w:rPr>
          <w:lang w:val="en"/>
        </w:rPr>
        <w:t xml:space="preserve"> </w:t>
      </w:r>
      <w:hyperlink r:id="rId37">
        <w:r>
          <w:rPr>
            <w:rStyle w:val="Hyperlink"/>
            <w:lang w:val="en"/>
          </w:rPr>
          <w:t xml:space="preserve">compliance page's "what applies when" table</w:t>
        </w:r>
      </w:hyperlink>
      <w:r>
        <w:rPr>
          <w:lang w:val="en"/>
        </w:rPr>
        <w:t xml:space="preserve"> </w:t>
      </w:r>
      <w:r>
        <w:rPr>
          <w:lang w:val="en"/>
        </w:rPr>
        <w:t xml:space="preserve">and</w:t>
      </w:r>
      <w:r>
        <w:rPr>
          <w:lang w:val="en"/>
        </w:rPr>
        <w:t xml:space="preserve"> </w:t>
      </w:r>
      <w:hyperlink r:id="rId10">
        <w:r>
          <w:rPr>
            <w:rStyle w:val="Hyperlink"/>
            <w:lang w:val="en"/>
          </w:rPr>
          <w:t xml:space="preserve">US and Canadian laws</w:t>
        </w:r>
      </w:hyperlink>
      <w:r>
        <w:rPr>
          <w:lang w:val="en"/>
        </w:rPr>
        <w:t xml:space="preserve"> </w:t>
      </w:r>
      <w:r>
        <w:rPr>
          <w:lang w:val="en"/>
        </w:rPr>
        <w:t xml:space="preserve">carry it.</w:t>
      </w:r>
    </w:p>
    <w:p>
      <w:pPr>
        <w:pStyle w:val="BodyText"/>
      </w:pPr>
      <w:r>
        <w:rPr>
          <w:b/>
          <w:bCs/>
          <w:lang w:val="en"/>
        </w:rPr>
        <w:t xml:space="preserve">Depends on your circumstances (C4): customers rely on your certificate or report</w:t>
      </w:r>
    </w:p>
    <w:p>
      <w:pPr>
        <w:pStyle w:val="BodyText"/>
      </w:pPr>
      <w:r>
        <w:rPr>
          <w:lang w:val="en"/>
        </w:rPr>
        <w:t xml:space="preserve">If customers or contracts already rely on your ISO/IEC 27001 certificate or SOC 2 report, start from its scope statement, not from this table. Decide which worker-built apps are inside it (the</w:t>
      </w:r>
      <w:r>
        <w:rPr>
          <w:lang w:val="en"/>
        </w:rPr>
        <w:t xml:space="preserve"> </w:t>
      </w:r>
      <w:hyperlink r:id="rId38">
        <w:r>
          <w:rPr>
            <w:rStyle w:val="Hyperlink"/>
            <w:lang w:val="en"/>
          </w:rPr>
          <w:t xml:space="preserve">audit-scope flag</w:t>
        </w:r>
      </w:hyperlink>
      <w:r>
        <w:rPr>
          <w:lang w:val="en"/>
        </w:rPr>
        <w:t xml:space="preserve"> </w:t>
      </w:r>
      <w:r>
        <w:rPr>
          <w:lang w:val="en"/>
        </w:rPr>
        <w:t xml:space="preserve">finds them), then extend the existing controls and evidence to those apps. Adding ISO/IEC 42001 makes sense when you build or run AI features at a scale that a customer or regulator asks you to manage formally.</w:t>
      </w:r>
    </w:p>
    <w:p>
      <w:pPr>
        <w:pStyle w:val="BodyText"/>
      </w:pPr>
      <w:r>
        <w:rPr>
          <w:b/>
          <w:bCs/>
          <w:lang w:val="en"/>
        </w:rPr>
        <w:t xml:space="preserve">Most likely failure.</w:t>
      </w:r>
      <w:r>
        <w:rPr>
          <w:lang w:val="en"/>
        </w:rPr>
        <w:t xml:space="preserve"> </w:t>
      </w:r>
      <w:r>
        <w:rPr>
          <w:lang w:val="en"/>
        </w:rPr>
        <w:t xml:space="preserve">A team maps every gate to every framework and produces a crosswalk nobody uses. Keep it to the frameworks you're actually assessed against, plus the AI RMF or 42001 if you've adopted one. The cheaper alternative we rejected was a single new "AI controls" list: it duplicates controls you already test and gives auditors a second set of evidence to reconcile.</w:t>
      </w:r>
    </w:p>
    <w:bookmarkEnd w:id="39"/>
    <w:bookmarkStart w:id="41" w:name="say-aligned-with-honestly"/>
    <w:p>
      <w:pPr>
        <w:pStyle w:val="Heading2"/>
      </w:pPr>
      <w:r>
        <w:rPr>
          <w:lang w:val="en"/>
        </w:rPr>
        <w:t xml:space="preserve">How do you say "aligned with" honestly?</w:t>
      </w:r>
    </w:p>
    <w:p>
      <w:pPr>
        <w:pStyle w:val="FirstParagraph"/>
      </w:pPr>
      <w:r>
        <w:rPr>
          <w:lang w:val="en"/>
        </w:rPr>
        <w:t xml:space="preserve">Use words that match what you can show.</w:t>
      </w:r>
    </w:p>
    <w:p>
      <w:pPr>
        <w:pStyle w:val="Compact"/>
        <w:numPr>
          <w:ilvl w:val="0"/>
          <w:numId w:val="1002"/>
        </w:numPr>
      </w:pPr>
      <w:r>
        <w:rPr>
          <w:b/>
          <w:bCs/>
          <w:lang w:val="en"/>
        </w:rPr>
        <w:t xml:space="preserve">"We map our controls to the NIST AI RMF."</w:t>
      </w:r>
      <w:r>
        <w:rPr>
          <w:lang w:val="en"/>
        </w:rPr>
        <w:t xml:space="preserve"> </w:t>
      </w:r>
      <w:r>
        <w:rPr>
          <w:lang w:val="en"/>
        </w:rPr>
        <w:t xml:space="preserve">True if you keep the mapping and the evidence. The RMF is voluntary and outcome-based, so you can't be "compliant" with it.</w:t>
      </w:r>
    </w:p>
    <w:p>
      <w:pPr>
        <w:pStyle w:val="Compact"/>
        <w:numPr>
          <w:ilvl w:val="0"/>
          <w:numId w:val="1002"/>
        </w:numPr>
      </w:pPr>
      <w:r>
        <w:rPr>
          <w:b/>
          <w:bCs/>
          <w:lang w:val="en"/>
        </w:rPr>
        <w:t xml:space="preserve">"Our program is aligned with ISO/IEC 42001."</w:t>
      </w:r>
      <w:r>
        <w:rPr>
          <w:lang w:val="en"/>
        </w:rPr>
        <w:t xml:space="preserve"> </w:t>
      </w:r>
      <w:r>
        <w:rPr>
          <w:lang w:val="en"/>
        </w:rPr>
        <w:t xml:space="preserve">Acceptable only with a gap assessment behind it. Conformity to 42001 or 27001 means certification by an accredited body; mapping to it isn't certification.</w:t>
      </w:r>
    </w:p>
    <w:p>
      <w:pPr>
        <w:pStyle w:val="Compact"/>
        <w:numPr>
          <w:ilvl w:val="0"/>
          <w:numId w:val="1002"/>
        </w:numPr>
      </w:pPr>
      <w:r>
        <w:rPr>
          <w:b/>
          <w:bCs/>
          <w:lang w:val="en"/>
        </w:rPr>
        <w:t xml:space="preserve">"Our SOC 2 report covers worker-built apps in scope."</w:t>
      </w:r>
      <w:r>
        <w:rPr>
          <w:lang w:val="en"/>
        </w:rPr>
        <w:t xml:space="preserve"> </w:t>
      </w:r>
      <w:r>
        <w:rPr>
          <w:lang w:val="en"/>
        </w:rPr>
        <w:t xml:space="preserve">True only if the system description and testing include them.</w:t>
      </w:r>
    </w:p>
    <w:p>
      <w:pPr>
        <w:pStyle w:val="Compact"/>
        <w:numPr>
          <w:ilvl w:val="0"/>
          <w:numId w:val="1002"/>
        </w:numPr>
      </w:pPr>
      <w:r>
        <w:rPr>
          <w:b/>
          <w:bCs/>
          <w:lang w:val="en"/>
        </w:rPr>
        <w:t xml:space="preserve">"We use the OWASP Top 10 lists in threat modelling and review."</w:t>
      </w:r>
      <w:r>
        <w:rPr>
          <w:lang w:val="en"/>
        </w:rPr>
        <w:t xml:space="preserve"> </w:t>
      </w:r>
      <w:r>
        <w:rPr>
          <w:lang w:val="en"/>
        </w:rPr>
        <w:t xml:space="preserve">The OWASP lists are risk lists, not standards, so "OWASP compliant" means nothing.</w:t>
      </w:r>
    </w:p>
    <w:p>
      <w:pPr>
        <w:pStyle w:val="FirstParagraph"/>
      </w:pPr>
      <w:r>
        <w:rPr>
          <w:lang w:val="en"/>
        </w:rPr>
        <w:t xml:space="preserve">Put each of these statements in the</w:t>
      </w:r>
      <w:r>
        <w:rPr>
          <w:lang w:val="en"/>
        </w:rPr>
        <w:t xml:space="preserve"> </w:t>
      </w:r>
      <w:hyperlink r:id="rId40">
        <w:r>
          <w:rPr>
            <w:rStyle w:val="Hyperlink"/>
            <w:lang w:val="en"/>
          </w:rPr>
          <w:t xml:space="preserve">claims register</w:t>
        </w:r>
      </w:hyperlink>
      <w:r>
        <w:rPr>
          <w:lang w:val="en"/>
        </w:rPr>
        <w:t xml:space="preserve"> </w:t>
      </w:r>
      <w:r>
        <w:rPr>
          <w:lang w:val="en"/>
        </w:rPr>
        <w:t xml:space="preserve">with its evidence.</w:t>
      </w:r>
    </w:p>
    <w:p>
      <w:pPr>
        <w:pStyle w:val="BodyText"/>
      </w:pPr>
      <w:r>
        <w:rPr>
          <w:b/>
          <w:bCs/>
          <w:lang w:val="en"/>
        </w:rPr>
        <w:t xml:space="preserve">Don't: claim a framework because you follow this site (AP16)</w:t>
      </w:r>
    </w:p>
    <w:p>
      <w:pPr>
        <w:pStyle w:val="BodyText"/>
      </w:pPr>
      <w:r>
        <w:rPr>
          <w:lang w:val="en"/>
        </w:rPr>
        <w:t xml:space="preserve">Following this framework doesn't make a business compliant with, or certified to, anything. Unsupported claims about AI governance carry their own risk; regulators have acted against unsupported AI claims.</w:t>
      </w:r>
      <w:hyperlink w:anchor="fn:ftc">
        <w:r>
          <w:rPr>
            <w:rStyle w:val="Hyperlink"/>
            <w:vertAlign w:val="superscript"/>
            <w:lang w:val="en"/>
          </w:rPr>
          <w:t xml:space="preserve">20</w:t>
        </w:r>
      </w:hyperlink>
    </w:p>
    <w:bookmarkEnd w:id="41"/>
    <w:bookmarkStart w:id="43" w:name="superseded-references-to-replace"/>
    <w:p>
      <w:pPr>
        <w:pStyle w:val="Heading2"/>
      </w:pPr>
      <w:r>
        <w:rPr>
          <w:lang w:val="en"/>
        </w:rPr>
        <w:t xml:space="preserve">Superseded references to replace</w:t>
      </w:r>
    </w:p>
    <w:p>
      <w:pPr>
        <w:pStyle w:val="FirstParagraph"/>
      </w:pPr>
      <w:r>
        <w:rPr>
          <w:lang w:val="en"/>
        </w:rPr>
        <w:t xml:space="preserve">If your policies or questionnaire answers cite any of these, update them:</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en"/>
              </w:rPr>
              <w:t xml:space="preserve">Old reference</w:t>
            </w:r>
          </w:p>
        </w:tc>
        <w:tc>
          <w:tcPr/>
          <w:p>
            <w:pPr>
              <w:pStyle w:val="Compact"/>
            </w:pPr>
            <w:r>
              <w:rPr>
                <w:lang w:val="en"/>
              </w:rPr>
              <w:t xml:space="preserve">Current reference (as of October 2026)</w:t>
            </w:r>
          </w:p>
        </w:tc>
      </w:tr>
      <w:tr>
        <w:tc>
          <w:tcPr/>
          <w:p>
            <w:pPr>
              <w:pStyle w:val="Compact"/>
            </w:pPr>
            <w:r>
              <w:rPr>
                <w:lang w:val="en"/>
              </w:rPr>
              <w:t xml:space="preserve">OMB M-24-10 (US federal AI use)</w:t>
            </w:r>
          </w:p>
        </w:tc>
        <w:tc>
          <w:tcPr/>
          <w:p>
            <w:pPr>
              <w:pStyle w:val="Compact"/>
            </w:pPr>
            <w:r>
              <w:rPr>
                <w:lang w:val="en"/>
              </w:rPr>
              <w:t xml:space="preserve">OMB M-25-21 (April 2025)</w:t>
            </w:r>
            <w:hyperlink w:anchor="fn:omb">
              <w:r>
                <w:rPr>
                  <w:rStyle w:val="Hyperlink"/>
                  <w:vertAlign w:val="superscript"/>
                  <w:lang w:val="en"/>
                </w:rPr>
                <w:t xml:space="preserve">21</w:t>
              </w:r>
            </w:hyperlink>
          </w:p>
        </w:tc>
      </w:tr>
      <w:tr>
        <w:tc>
          <w:tcPr/>
          <w:p>
            <w:pPr>
              <w:pStyle w:val="Compact"/>
            </w:pPr>
            <w:r>
              <w:rPr>
                <w:lang w:val="en"/>
              </w:rPr>
              <w:t xml:space="preserve">SR 11-7 (bank model risk)</w:t>
            </w:r>
          </w:p>
        </w:tc>
        <w:tc>
          <w:tcPr/>
          <w:p>
            <w:pPr>
              <w:pStyle w:val="Compact"/>
            </w:pPr>
            <w:r>
              <w:rPr>
                <w:lang w:val="en"/>
              </w:rPr>
              <w:t xml:space="preserve">SR 26-2 (April 2026)</w:t>
            </w:r>
            <w:hyperlink w:anchor="fn:sr262">
              <w:r>
                <w:rPr>
                  <w:rStyle w:val="Hyperlink"/>
                  <w:vertAlign w:val="superscript"/>
                  <w:lang w:val="en"/>
                </w:rPr>
                <w:t xml:space="preserve">22</w:t>
              </w:r>
            </w:hyperlink>
          </w:p>
        </w:tc>
      </w:tr>
      <w:tr>
        <w:tc>
          <w:tcPr/>
          <w:p>
            <w:pPr>
              <w:pStyle w:val="Compact"/>
            </w:pPr>
            <w:r>
              <w:rPr>
                <w:lang w:val="en"/>
              </w:rPr>
              <w:t xml:space="preserve">Bank of England and FCA DP5/22</w:t>
            </w:r>
          </w:p>
        </w:tc>
        <w:tc>
          <w:tcPr/>
          <w:p>
            <w:pPr>
              <w:pStyle w:val="Compact"/>
            </w:pPr>
            <w:r>
              <w:rPr>
                <w:lang w:val="en"/>
              </w:rPr>
              <w:t xml:space="preserve">Feedback statement FS2/23 (October 2023)</w:t>
            </w:r>
            <w:hyperlink w:anchor="fn:fs223">
              <w:r>
                <w:rPr>
                  <w:rStyle w:val="Hyperlink"/>
                  <w:vertAlign w:val="superscript"/>
                  <w:lang w:val="en"/>
                </w:rPr>
                <w:t xml:space="preserve">23</w:t>
              </w:r>
            </w:hyperlink>
          </w:p>
        </w:tc>
      </w:tr>
      <w:tr>
        <w:tc>
          <w:tcPr/>
          <w:p>
            <w:pPr>
              <w:pStyle w:val="Compact"/>
            </w:pPr>
            <w:r>
              <w:rPr>
                <w:lang w:val="en"/>
              </w:rPr>
              <w:t xml:space="preserve">IMDA Model AI Governance Framework (2020) for agents</w:t>
            </w:r>
          </w:p>
        </w:tc>
        <w:tc>
          <w:tcPr/>
          <w:p>
            <w:pPr>
              <w:pStyle w:val="Compact"/>
            </w:pPr>
            <w:r>
              <w:rPr>
                <w:lang w:val="en"/>
              </w:rPr>
              <w:t xml:space="preserve">IMDA Model AI Governance Framework for Agentic AI, v1.5 (May 2026)</w:t>
            </w:r>
            <w:hyperlink w:anchor="fn:imda">
              <w:r>
                <w:rPr>
                  <w:rStyle w:val="Hyperlink"/>
                  <w:vertAlign w:val="superscript"/>
                  <w:lang w:val="en"/>
                </w:rPr>
                <w:t xml:space="preserve">19</w:t>
              </w:r>
            </w:hyperlink>
          </w:p>
        </w:tc>
      </w:tr>
      <w:tr>
        <w:tc>
          <w:tcPr/>
          <w:p>
            <w:pPr>
              <w:pStyle w:val="Compact"/>
            </w:pPr>
            <w:r>
              <w:rPr>
                <w:lang w:val="en"/>
              </w:rPr>
              <w:t xml:space="preserve">OWASP Top 10 for LLM Applications (2023)</w:t>
            </w:r>
          </w:p>
        </w:tc>
        <w:tc>
          <w:tcPr/>
          <w:p>
            <w:pPr>
              <w:pStyle w:val="Compact"/>
            </w:pPr>
            <w:r>
              <w:rPr>
                <w:lang w:val="en"/>
              </w:rPr>
              <w:t xml:space="preserve">2025 edition</w:t>
            </w:r>
            <w:hyperlink w:anchor="fn:owaspllm">
              <w:r>
                <w:rPr>
                  <w:rStyle w:val="Hyperlink"/>
                  <w:vertAlign w:val="superscript"/>
                  <w:lang w:val="en"/>
                </w:rPr>
                <w:t xml:space="preserve">12</w:t>
              </w:r>
            </w:hyperlink>
          </w:p>
        </w:tc>
      </w:tr>
      <w:tr>
        <w:tc>
          <w:tcPr/>
          <w:p>
            <w:pPr>
              <w:pStyle w:val="Compact"/>
            </w:pPr>
            <w:r>
              <w:rPr>
                <w:lang w:val="en"/>
              </w:rPr>
              <w:t xml:space="preserve">OWASP Low-Code/No-Code Top 10</w:t>
            </w:r>
          </w:p>
        </w:tc>
        <w:tc>
          <w:tcPr/>
          <w:p>
            <w:pPr>
              <w:pStyle w:val="Compact"/>
            </w:pPr>
            <w:r>
              <w:rPr>
                <w:lang w:val="en"/>
              </w:rPr>
              <w:t xml:space="preserve">Related newer list: OWASP Citizen Development Top 10 (OWASP hasn't confirmed it as the successor)</w:t>
            </w:r>
            <w:hyperlink w:anchor="fn:owaspcd">
              <w:r>
                <w:rPr>
                  <w:rStyle w:val="Hyperlink"/>
                  <w:vertAlign w:val="superscript"/>
                  <w:lang w:val="en"/>
                </w:rPr>
                <w:t xml:space="preserve">11</w:t>
              </w:r>
            </w:hyperlink>
          </w:p>
        </w:tc>
      </w:tr>
      <w:tr>
        <w:tc>
          <w:tcPr/>
          <w:p>
            <w:pPr>
              <w:pStyle w:val="Compact"/>
            </w:pPr>
            <w:r>
              <w:rPr>
                <w:lang w:val="en"/>
              </w:rPr>
              <w:t xml:space="preserve">PCI DSS 4.0</w:t>
            </w:r>
          </w:p>
        </w:tc>
        <w:tc>
          <w:tcPr/>
          <w:p>
            <w:pPr>
              <w:pStyle w:val="Compact"/>
            </w:pPr>
            <w:r>
              <w:rPr>
                <w:lang w:val="en"/>
              </w:rPr>
              <w:t xml:space="preserve">PCI DSS 4.0.1</w:t>
            </w:r>
            <w:hyperlink w:anchor="fn:pci">
              <w:r>
                <w:rPr>
                  <w:rStyle w:val="Hyperlink"/>
                  <w:vertAlign w:val="superscript"/>
                  <w:lang w:val="en"/>
                </w:rPr>
                <w:t xml:space="preserve">10</w:t>
              </w:r>
            </w:hyperlink>
          </w:p>
        </w:tc>
      </w:tr>
      <w:tr>
        <w:tc>
          <w:tcPr/>
          <w:p>
            <w:pPr>
              <w:pStyle w:val="Compact"/>
            </w:pPr>
            <w:r>
              <w:rPr>
                <w:lang w:val="en"/>
              </w:rPr>
              <w:t xml:space="preserve">EU AI Act "Title III"</w:t>
            </w:r>
          </w:p>
        </w:tc>
        <w:tc>
          <w:tcPr/>
          <w:p>
            <w:pPr>
              <w:pStyle w:val="Compact"/>
            </w:pPr>
            <w:r>
              <w:rPr>
                <w:lang w:val="en"/>
              </w:rPr>
              <w:t xml:space="preserve">Chapter III (high-risk AI systems); see</w:t>
            </w:r>
            <w:r>
              <w:rPr>
                <w:lang w:val="en"/>
              </w:rPr>
              <w:t xml:space="preserve"> </w:t>
            </w:r>
            <w:hyperlink r:id="rId42">
              <w:r>
                <w:rPr>
                  <w:rStyle w:val="Hyperlink"/>
                  <w:lang w:val="en"/>
                </w:rPr>
                <w:t xml:space="preserve">the EU AI Act page</w:t>
              </w:r>
            </w:hyperlink>
          </w:p>
        </w:tc>
      </w:tr>
    </w:tbl>
    <w:bookmarkEnd w:id="43"/>
    <w:bookmarkStart w:id="44" w:name="questions-to-ask-your-counsel"/>
    <w:p>
      <w:pPr>
        <w:pStyle w:val="Heading2"/>
      </w:pPr>
      <w:r>
        <w:rPr>
          <w:lang w:val="en"/>
        </w:rPr>
        <w:t xml:space="preserve">Questions to ask your counsel</w:t>
      </w:r>
    </w:p>
    <w:p>
      <w:pPr>
        <w:pStyle w:val="Compact"/>
        <w:numPr>
          <w:ilvl w:val="0"/>
          <w:numId w:val="1003"/>
        </w:numPr>
      </w:pPr>
      <w:r>
        <w:rPr>
          <w:lang w:val="en"/>
        </w:rPr>
        <w:t xml:space="preserve">Which frameworks are we contractually committed to (SOC 2, ISO/IEC 27001, PCI DSS), and do those commitments reach worker-built apps?</w:t>
      </w:r>
    </w:p>
    <w:p>
      <w:pPr>
        <w:pStyle w:val="Compact"/>
        <w:numPr>
          <w:ilvl w:val="0"/>
          <w:numId w:val="1003"/>
        </w:numPr>
      </w:pPr>
      <w:r>
        <w:rPr>
          <w:lang w:val="en"/>
        </w:rPr>
        <w:t xml:space="preserve">Do any customer contracts or public statements say we "comply with" a voluntary framework, and should we reword them?</w:t>
      </w:r>
    </w:p>
    <w:p>
      <w:pPr>
        <w:pStyle w:val="Compact"/>
        <w:numPr>
          <w:ilvl w:val="0"/>
          <w:numId w:val="1003"/>
        </w:numPr>
      </w:pPr>
      <w:r>
        <w:rPr>
          <w:lang w:val="en"/>
        </w:rPr>
        <w:t xml:space="preserve">Do we want ISO/IEC 42001 certification, or is a mapped alignment enough for our customers and regulators?</w:t>
      </w:r>
    </w:p>
    <w:p>
      <w:pPr>
        <w:pStyle w:val="Compact"/>
        <w:numPr>
          <w:ilvl w:val="0"/>
          <w:numId w:val="1003"/>
        </w:numPr>
      </w:pPr>
      <w:r>
        <w:rPr>
          <w:lang w:val="en"/>
        </w:rPr>
        <w:t xml:space="preserve">Which accessibility standard (WCAG 2.1 or 2.2 AA) do the laws that apply to us reference, and for which apps?</w:t>
      </w:r>
    </w:p>
    <w:p>
      <w:pPr>
        <w:pStyle w:val="Compact"/>
        <w:numPr>
          <w:ilvl w:val="0"/>
          <w:numId w:val="1003"/>
        </w:numPr>
      </w:pPr>
      <w:r>
        <w:rPr>
          <w:lang w:val="en"/>
        </w:rPr>
        <w:t xml:space="preserve">If we train or fine-tune models, which parts of SP 800-218A and the AI 600-1 profile should our contracts and policies adopt?</w:t>
      </w:r>
    </w:p>
    <w:bookmarkEnd w:id="44"/>
    <w:bookmarkStart w:id="45" w:name="assumptions-and-evidence"/>
    <w:p>
      <w:pPr>
        <w:pStyle w:val="Heading2"/>
      </w:pPr>
      <w:r>
        <w:rPr>
          <w:lang w:val="en"/>
        </w:rPr>
        <w:t xml:space="preserve">Assumptions and evidence</w:t>
      </w:r>
    </w:p>
    <w:p>
      <w:pPr>
        <w:pStyle w:val="Compact"/>
        <w:numPr>
          <w:ilvl w:val="0"/>
          <w:numId w:val="1004"/>
        </w:numPr>
      </w:pPr>
      <w:r>
        <w:rPr>
          <w:lang w:val="en"/>
        </w:rPr>
        <w:t xml:space="preserve">This page relies on no register assumption. Control IDs for the paid ISO standards and the gated AICPA criteria come from published control lists and a third-party copy, not the purchased texts.</w:t>
      </w:r>
    </w:p>
    <w:p>
      <w:pPr>
        <w:pStyle w:val="Compact"/>
        <w:numPr>
          <w:ilvl w:val="0"/>
          <w:numId w:val="1004"/>
        </w:numPr>
      </w:pPr>
      <w:r>
        <w:rPr>
          <w:lang w:val="en"/>
        </w:rPr>
        <w:t xml:space="preserve">Evidence: standards bodies' own publications, read on 2026-10-21 or 2026-10-22. The OWASP Citizen Development list has no stated version, its project page was unreliable, and its items were read from the project's source repository. The ISO pages refused automated fetches. The PCI DSS publication date comes from secondary sources.</w:t>
      </w:r>
    </w:p>
    <w:p>
      <w:pPr>
        <w:pStyle w:val="Compact"/>
        <w:numPr>
          <w:ilvl w:val="0"/>
          <w:numId w:val="1004"/>
        </w:numPr>
      </w:pPr>
      <w:r>
        <w:rPr>
          <w:lang w:val="en"/>
        </w:rPr>
        <w:t xml:space="preserve">Facts on this page are as of October 2026.</w:t>
      </w:r>
    </w:p>
    <w:bookmarkEnd w:id="45"/>
    <w:bookmarkStart w:id="98" w:name="related"/>
    <w:p>
      <w:pPr>
        <w:pStyle w:val="Heading2"/>
      </w:pPr>
      <w:r>
        <w:rPr>
          <w:lang w:val="en"/>
        </w:rPr>
        <w:t xml:space="preserve">Related</w:t>
      </w:r>
    </w:p>
    <w:p>
      <w:pPr>
        <w:pStyle w:val="Compact"/>
        <w:numPr>
          <w:ilvl w:val="0"/>
          <w:numId w:val="1005"/>
        </w:numPr>
      </w:pPr>
      <w:hyperlink r:id="rId46">
        <w:r>
          <w:rPr>
            <w:rStyle w:val="Hyperlink"/>
            <w:lang w:val="en"/>
          </w:rPr>
          <w:t xml:space="preserve">Compliance for vibe-coded apps</w:t>
        </w:r>
      </w:hyperlink>
      <w:r>
        <w:rPr>
          <w:lang w:val="en"/>
        </w:rPr>
        <w:t xml:space="preserve">: SOC 2 scoping, audit evidence and the claims register.</w:t>
      </w:r>
    </w:p>
    <w:p>
      <w:pPr>
        <w:pStyle w:val="Compact"/>
        <w:numPr>
          <w:ilvl w:val="0"/>
          <w:numId w:val="1005"/>
        </w:numPr>
      </w:pPr>
      <w:hyperlink r:id="rId10">
        <w:r>
          <w:rPr>
            <w:rStyle w:val="Hyperlink"/>
            <w:lang w:val="en"/>
          </w:rPr>
          <w:t xml:space="preserve">US and Canadian laws for AI-built apps</w:t>
        </w:r>
      </w:hyperlink>
      <w:r>
        <w:rPr>
          <w:lang w:val="en"/>
        </w:rPr>
        <w:t xml:space="preserve">: the legal obligations behind the frameworks.</w:t>
      </w:r>
    </w:p>
    <w:p>
      <w:pPr>
        <w:pStyle w:val="Compact"/>
        <w:numPr>
          <w:ilvl w:val="0"/>
          <w:numId w:val="1005"/>
        </w:numPr>
      </w:pPr>
      <w:hyperlink r:id="rId17">
        <w:r>
          <w:rPr>
            <w:rStyle w:val="Hyperlink"/>
            <w:lang w:val="en"/>
          </w:rPr>
          <w:t xml:space="preserve">Secure vibe coding: a review checklist</w:t>
        </w:r>
      </w:hyperlink>
      <w:r>
        <w:rPr>
          <w:lang w:val="en"/>
        </w:rPr>
        <w:t xml:space="preserve">: the build controls in practice.</w:t>
      </w:r>
    </w:p>
    <w:p>
      <w:pPr>
        <w:pStyle w:val="Compact"/>
        <w:numPr>
          <w:ilvl w:val="0"/>
          <w:numId w:val="1005"/>
        </w:numPr>
      </w:pPr>
      <w:hyperlink r:id="rId25">
        <w:r>
          <w:rPr>
            <w:rStyle w:val="Hyperlink"/>
            <w:lang w:val="en"/>
          </w:rPr>
          <w:t xml:space="preserve">MCP security for business AI tools</w:t>
        </w:r>
      </w:hyperlink>
      <w:r>
        <w:rPr>
          <w:lang w:val="en"/>
        </w:rPr>
        <w:t xml:space="preserve">: the agent and MCP rows in practice.</w:t>
      </w:r>
    </w:p>
    <w:p>
      <w:pPr>
        <w:pStyle w:val="Compact"/>
        <w:numPr>
          <w:ilvl w:val="0"/>
          <w:numId w:val="1005"/>
        </w:numPr>
      </w:pPr>
      <w:hyperlink r:id="rId14">
        <w:r>
          <w:rPr>
            <w:rStyle w:val="Hyperlink"/>
            <w:lang w:val="en"/>
          </w:rPr>
          <w:t xml:space="preserve">Risk tiers for worker-built apps</w:t>
        </w:r>
      </w:hyperlink>
      <w:r>
        <w:rPr>
          <w:lang w:val="en"/>
        </w:rPr>
        <w:t xml:space="preserve">: the gates the reuse table maps.</w:t>
      </w:r>
    </w:p>
    <w:p>
      <w:r>
        <w:pict>
          <v:rect style="width:0;height:1.5pt" o:hralign="center" o:hrstd="t" o:hr="t"/>
        </w:pict>
      </w:r>
    </w:p>
    <w:bookmarkStart w:id="48" w:name="fn:rmf"/>
    <w:p>
      <w:pPr>
        <w:numPr>
          <w:ilvl w:val="0"/>
          <w:numId w:val="1006"/>
        </w:numPr>
      </w:pPr>
      <w:r>
        <w:rPr>
          <w:lang w:val="en"/>
        </w:rPr>
        <w:t xml:space="preserve">NIST, AI Risk Management Framework 1.0 (NIST AI 100-1), Jan 2023, under revision as of October 2026,</w:t>
      </w:r>
      <w:r>
        <w:rPr>
          <w:lang w:val="en"/>
        </w:rPr>
        <w:t xml:space="preserve"> </w:t>
      </w:r>
      <w:hyperlink r:id="rId47">
        <w:r>
          <w:rPr>
            <w:rStyle w:val="Hyperlink"/>
            <w:lang w:val="en"/>
          </w:rPr>
          <w:t xml:space="preserve">https://www.nist.gov/itl/ai-risk-management-framework</w:t>
        </w:r>
      </w:hyperlink>
      <w:r>
        <w:rPr>
          <w:lang w:val="en"/>
        </w:rPr>
        <w:t xml:space="preserve"> </w:t>
      </w:r>
      <w:r>
        <w:rPr>
          <w:lang w:val="en"/>
        </w:rPr>
        <w:t xml:space="preserve">[primary], accessed 2026-10-21.</w:t>
      </w:r>
    </w:p>
    <w:bookmarkEnd w:id="48"/>
    <w:bookmarkStart w:id="50" w:name="fn:ai600"/>
    <w:p>
      <w:pPr>
        <w:numPr>
          <w:ilvl w:val="0"/>
          <w:numId w:val="1006"/>
        </w:numPr>
      </w:pPr>
      <w:r>
        <w:rPr>
          <w:lang w:val="en"/>
        </w:rPr>
        <w:t xml:space="preserve">NIST, AI 600-1, Generative Artificial Intelligence Profile, 26 Jul 2024,</w:t>
      </w:r>
      <w:r>
        <w:rPr>
          <w:lang w:val="en"/>
        </w:rPr>
        <w:t xml:space="preserve"> </w:t>
      </w:r>
      <w:hyperlink r:id="rId49">
        <w:r>
          <w:rPr>
            <w:rStyle w:val="Hyperlink"/>
            <w:lang w:val="en"/>
          </w:rPr>
          <w:t xml:space="preserve">https://nvlpubs.nist.gov/nistpubs/ai/NIST.AI.600-1.pdf</w:t>
        </w:r>
      </w:hyperlink>
      <w:r>
        <w:rPr>
          <w:lang w:val="en"/>
        </w:rPr>
        <w:t xml:space="preserve"> </w:t>
      </w:r>
      <w:r>
        <w:rPr>
          <w:lang w:val="en"/>
        </w:rPr>
        <w:t xml:space="preserve">[primary], accessed 2026-10-21.</w:t>
      </w:r>
    </w:p>
    <w:bookmarkEnd w:id="50"/>
    <w:bookmarkStart w:id="52" w:name="fn:csf"/>
    <w:p>
      <w:pPr>
        <w:numPr>
          <w:ilvl w:val="0"/>
          <w:numId w:val="1006"/>
        </w:numPr>
      </w:pPr>
      <w:r>
        <w:rPr>
          <w:lang w:val="en"/>
        </w:rPr>
        <w:t xml:space="preserve">NIST, The NIST Cybersecurity Framework (CSF) 2.0, CSWP 29, 26 Feb 2024,</w:t>
      </w:r>
      <w:r>
        <w:rPr>
          <w:lang w:val="en"/>
        </w:rPr>
        <w:t xml:space="preserve"> </w:t>
      </w:r>
      <w:hyperlink r:id="rId51">
        <w:r>
          <w:rPr>
            <w:rStyle w:val="Hyperlink"/>
            <w:lang w:val="en"/>
          </w:rPr>
          <w:t xml:space="preserve">https://nvlpubs.nist.gov/nistpubs/CSWP/NIST.CSWP.29.pdf</w:t>
        </w:r>
      </w:hyperlink>
      <w:r>
        <w:rPr>
          <w:lang w:val="en"/>
        </w:rPr>
        <w:t xml:space="preserve"> </w:t>
      </w:r>
      <w:r>
        <w:rPr>
          <w:lang w:val="en"/>
        </w:rPr>
        <w:t xml:space="preserve">[primary], accessed 2026-10-22.</w:t>
      </w:r>
    </w:p>
    <w:bookmarkEnd w:id="52"/>
    <w:bookmarkStart w:id="54" w:name="fn:ir8596"/>
    <w:p>
      <w:pPr>
        <w:numPr>
          <w:ilvl w:val="0"/>
          <w:numId w:val="1006"/>
        </w:numPr>
      </w:pPr>
      <w:r>
        <w:rPr>
          <w:lang w:val="en"/>
        </w:rPr>
        <w:t xml:space="preserve">NIST, IR 8596 (initial preliminary draft), Cyber AI Profile, 16 Dec 2025,</w:t>
      </w:r>
      <w:r>
        <w:rPr>
          <w:lang w:val="en"/>
        </w:rPr>
        <w:t xml:space="preserve"> </w:t>
      </w:r>
      <w:hyperlink r:id="rId53">
        <w:r>
          <w:rPr>
            <w:rStyle w:val="Hyperlink"/>
            <w:lang w:val="en"/>
          </w:rPr>
          <w:t xml:space="preserve">https://csrc.nist.gov/pubs/ir/8596/iprd</w:t>
        </w:r>
      </w:hyperlink>
      <w:r>
        <w:rPr>
          <w:lang w:val="en"/>
        </w:rPr>
        <w:t xml:space="preserve"> </w:t>
      </w:r>
      <w:r>
        <w:rPr>
          <w:lang w:val="en"/>
        </w:rPr>
        <w:t xml:space="preserve">[primary], accessed 2026-10-22.</w:t>
      </w:r>
    </w:p>
    <w:bookmarkEnd w:id="54"/>
    <w:bookmarkStart w:id="57" w:name="fn:ssdf"/>
    <w:p>
      <w:pPr>
        <w:numPr>
          <w:ilvl w:val="0"/>
          <w:numId w:val="1006"/>
        </w:numPr>
      </w:pPr>
      <w:r>
        <w:rPr>
          <w:lang w:val="en"/>
        </w:rPr>
        <w:t xml:space="preserve">NIST, SP 800-218 v1.1, Secure Software Development Framework, Feb 2022,</w:t>
      </w:r>
      <w:r>
        <w:rPr>
          <w:lang w:val="en"/>
        </w:rPr>
        <w:t xml:space="preserve"> </w:t>
      </w:r>
      <w:hyperlink r:id="rId55">
        <w:r>
          <w:rPr>
            <w:rStyle w:val="Hyperlink"/>
            <w:lang w:val="en"/>
          </w:rPr>
          <w:t xml:space="preserve">https://csrc.nist.gov/pubs/sp/800/218/final</w:t>
        </w:r>
      </w:hyperlink>
      <w:r>
        <w:rPr>
          <w:lang w:val="en"/>
        </w:rPr>
        <w:t xml:space="preserve">; SP 800-218 Rev. 1 initial public draft, 17 Dec 2025 (comments closed 30 Jan 2026; no final as of 2026-10-22),</w:t>
      </w:r>
      <w:r>
        <w:rPr>
          <w:lang w:val="en"/>
        </w:rPr>
        <w:t xml:space="preserve"> </w:t>
      </w:r>
      <w:hyperlink r:id="rId56">
        <w:r>
          <w:rPr>
            <w:rStyle w:val="Hyperlink"/>
            <w:lang w:val="en"/>
          </w:rPr>
          <w:t xml:space="preserve">https://csrc.nist.gov/pubs/sp/800/218/r1/ipd</w:t>
        </w:r>
      </w:hyperlink>
      <w:r>
        <w:rPr>
          <w:lang w:val="en"/>
        </w:rPr>
        <w:t xml:space="preserve"> </w:t>
      </w:r>
      <w:r>
        <w:rPr>
          <w:lang w:val="en"/>
        </w:rPr>
        <w:t xml:space="preserve">[primary], accessed 2026-10-22.</w:t>
      </w:r>
    </w:p>
    <w:bookmarkEnd w:id="57"/>
    <w:bookmarkStart w:id="59" w:name="fn:ssdf218a"/>
    <w:p>
      <w:pPr>
        <w:numPr>
          <w:ilvl w:val="0"/>
          <w:numId w:val="1006"/>
        </w:numPr>
      </w:pPr>
      <w:r>
        <w:rPr>
          <w:lang w:val="en"/>
        </w:rPr>
        <w:t xml:space="preserve">NIST, SP 800-218A, Secure Software Development Practices for Generative AI and Dual-Use Foundation Models, 26 Jul 2024,</w:t>
      </w:r>
      <w:r>
        <w:rPr>
          <w:lang w:val="en"/>
        </w:rPr>
        <w:t xml:space="preserve"> </w:t>
      </w:r>
      <w:hyperlink r:id="rId58">
        <w:r>
          <w:rPr>
            <w:rStyle w:val="Hyperlink"/>
            <w:lang w:val="en"/>
          </w:rPr>
          <w:t xml:space="preserve">https://csrc.nist.gov/pubs/sp/800/218/a/final</w:t>
        </w:r>
      </w:hyperlink>
      <w:r>
        <w:rPr>
          <w:lang w:val="en"/>
        </w:rPr>
        <w:t xml:space="preserve"> </w:t>
      </w:r>
      <w:r>
        <w:rPr>
          <w:lang w:val="en"/>
        </w:rPr>
        <w:t xml:space="preserve">[primary], accessed 2026-10-22.</w:t>
      </w:r>
    </w:p>
    <w:bookmarkEnd w:id="59"/>
    <w:bookmarkStart w:id="61" w:name="fn:iso42001"/>
    <w:p>
      <w:pPr>
        <w:numPr>
          <w:ilvl w:val="0"/>
          <w:numId w:val="1006"/>
        </w:numPr>
      </w:pPr>
      <w:r>
        <w:rPr>
          <w:lang w:val="en"/>
        </w:rPr>
        <w:t xml:space="preserve">ISO, ISO/IEC 42001:2023, AI management systems,</w:t>
      </w:r>
      <w:r>
        <w:rPr>
          <w:lang w:val="en"/>
        </w:rPr>
        <w:t xml:space="preserve"> </w:t>
      </w:r>
      <w:hyperlink r:id="rId60">
        <w:r>
          <w:rPr>
            <w:rStyle w:val="Hyperlink"/>
            <w:lang w:val="en"/>
          </w:rPr>
          <w:t xml:space="preserve">https://www.iso.org/standard/81230.html</w:t>
        </w:r>
      </w:hyperlink>
      <w:r>
        <w:rPr>
          <w:lang w:val="en"/>
        </w:rPr>
        <w:t xml:space="preserve"> </w:t>
      </w:r>
      <w:r>
        <w:rPr>
          <w:lang w:val="en"/>
        </w:rPr>
        <w:t xml:space="preserve">[standard], accessed 2026-10-21.</w:t>
      </w:r>
    </w:p>
    <w:bookmarkEnd w:id="61"/>
    <w:bookmarkStart w:id="63" w:name="fn:iso27001"/>
    <w:p>
      <w:pPr>
        <w:numPr>
          <w:ilvl w:val="0"/>
          <w:numId w:val="1006"/>
        </w:numPr>
      </w:pPr>
      <w:r>
        <w:rPr>
          <w:lang w:val="en"/>
        </w:rPr>
        <w:t xml:space="preserve">ISO, ISO/IEC 27001:2022, Information security management systems,</w:t>
      </w:r>
      <w:r>
        <w:rPr>
          <w:lang w:val="en"/>
        </w:rPr>
        <w:t xml:space="preserve"> </w:t>
      </w:r>
      <w:hyperlink r:id="rId62">
        <w:r>
          <w:rPr>
            <w:rStyle w:val="Hyperlink"/>
            <w:lang w:val="en"/>
          </w:rPr>
          <w:t xml:space="preserve">https://www.iso.org/standard/27001</w:t>
        </w:r>
      </w:hyperlink>
      <w:r>
        <w:rPr>
          <w:lang w:val="en"/>
        </w:rPr>
        <w:t xml:space="preserve"> </w:t>
      </w:r>
      <w:r>
        <w:rPr>
          <w:lang w:val="en"/>
        </w:rPr>
        <w:t xml:space="preserve">[standard; paid text], accessed 2026-10-22.</w:t>
      </w:r>
    </w:p>
    <w:bookmarkEnd w:id="63"/>
    <w:bookmarkStart w:id="65" w:name="fn:tsc"/>
    <w:p>
      <w:pPr>
        <w:numPr>
          <w:ilvl w:val="0"/>
          <w:numId w:val="1006"/>
        </w:numPr>
      </w:pPr>
      <w:r>
        <w:rPr>
          <w:lang w:val="en"/>
        </w:rPr>
        <w:t xml:space="preserve">AICPA,</w:t>
      </w:r>
      <w:r>
        <w:rPr>
          <w:lang w:val="en"/>
        </w:rPr>
        <w:t xml:space="preserve"> </w:t>
      </w:r>
      <w:r>
        <w:rPr>
          <w:i/>
          <w:iCs/>
          <w:lang w:val="en"/>
        </w:rPr>
        <w:t xml:space="preserve">2017 Trust Services Criteria (With Revised Points of Focus, 2022)</w:t>
      </w:r>
      <w:r>
        <w:rPr>
          <w:lang w:val="en"/>
        </w:rPr>
        <w:t xml:space="preserve">,</w:t>
      </w:r>
      <w:r>
        <w:rPr>
          <w:lang w:val="en"/>
        </w:rPr>
        <w:t xml:space="preserve"> </w:t>
      </w:r>
      <w:hyperlink r:id="rId64">
        <w:r>
          <w:rPr>
            <w:rStyle w:val="Hyperlink"/>
            <w:lang w:val="en"/>
          </w:rPr>
          <w:t xml:space="preserve">https://www.aicpa-cima.com/resources/download/2017-trust-services-criteria-with-revised-points-of-focus-2022</w:t>
        </w:r>
      </w:hyperlink>
      <w:r>
        <w:rPr>
          <w:lang w:val="en"/>
        </w:rPr>
        <w:t xml:space="preserve"> </w:t>
      </w:r>
      <w:r>
        <w:rPr>
          <w:lang w:val="en"/>
        </w:rPr>
        <w:t xml:space="preserve">[standard; free registration required], accessed 2026-10-21.</w:t>
      </w:r>
    </w:p>
    <w:bookmarkEnd w:id="65"/>
    <w:bookmarkStart w:id="68" w:name="fn:pci"/>
    <w:p>
      <w:pPr>
        <w:numPr>
          <w:ilvl w:val="0"/>
          <w:numId w:val="1006"/>
        </w:numPr>
      </w:pPr>
      <w:r>
        <w:rPr>
          <w:lang w:val="en"/>
        </w:rPr>
        <w:t xml:space="preserve">PCI Security Standards Council, PCI DSS v4.0.1, document library,</w:t>
      </w:r>
      <w:r>
        <w:rPr>
          <w:lang w:val="en"/>
        </w:rPr>
        <w:t xml:space="preserve"> </w:t>
      </w:r>
      <w:hyperlink r:id="rId66">
        <w:r>
          <w:rPr>
            <w:rStyle w:val="Hyperlink"/>
            <w:lang w:val="en"/>
          </w:rPr>
          <w:t xml:space="preserve">https://www.pcisecuritystandards.org/document_library/</w:t>
        </w:r>
      </w:hyperlink>
      <w:r>
        <w:rPr>
          <w:lang w:val="en"/>
        </w:rPr>
        <w:t xml:space="preserve"> </w:t>
      </w:r>
      <w:r>
        <w:rPr>
          <w:lang w:val="en"/>
        </w:rPr>
        <w:t xml:space="preserve">[standard; the 11 Jun 2024 publication date and the end-2024 retirement of v4.0 come from secondary summaries, for example</w:t>
      </w:r>
      <w:r>
        <w:rPr>
          <w:lang w:val="en"/>
        </w:rPr>
        <w:t xml:space="preserve"> </w:t>
      </w:r>
      <w:hyperlink r:id="rId67">
        <w:r>
          <w:rPr>
            <w:rStyle w:val="Hyperlink"/>
            <w:lang w:val="en"/>
          </w:rPr>
          <w:t xml:space="preserve">https://secureframe.com/blog/pci-dss-4.0.1</w:t>
        </w:r>
      </w:hyperlink>
      <w:r>
        <w:rPr>
          <w:lang w:val="en"/>
        </w:rPr>
        <w:t xml:space="preserve">, vendor], accessed 2026-10-22.</w:t>
      </w:r>
    </w:p>
    <w:bookmarkEnd w:id="68"/>
    <w:bookmarkStart w:id="71" w:name="fn:owaspcd"/>
    <w:p>
      <w:pPr>
        <w:numPr>
          <w:ilvl w:val="0"/>
          <w:numId w:val="1006"/>
        </w:numPr>
      </w:pPr>
      <w:r>
        <w:rPr>
          <w:lang w:val="en"/>
        </w:rPr>
        <w:t xml:space="preserve">OWASP, Citizen Development Top 10, source repository (no version stated; content path dated 2022),</w:t>
      </w:r>
      <w:r>
        <w:rPr>
          <w:lang w:val="en"/>
        </w:rPr>
        <w:t xml:space="preserve"> </w:t>
      </w:r>
      <w:hyperlink r:id="rId69">
        <w:r>
          <w:rPr>
            <w:rStyle w:val="Hyperlink"/>
            <w:lang w:val="en"/>
          </w:rPr>
          <w:t xml:space="preserve">https://github.com/OWASP/www-project-citizen-development-top10-security-risks</w:t>
        </w:r>
      </w:hyperlink>
      <w:r>
        <w:rPr>
          <w:lang w:val="en"/>
        </w:rPr>
        <w:t xml:space="preserve"> </w:t>
      </w:r>
      <w:r>
        <w:rPr>
          <w:lang w:val="en"/>
        </w:rPr>
        <w:t xml:space="preserve">[primary]; project page</w:t>
      </w:r>
      <w:r>
        <w:rPr>
          <w:lang w:val="en"/>
        </w:rPr>
        <w:t xml:space="preserve"> </w:t>
      </w:r>
      <w:hyperlink r:id="rId70">
        <w:r>
          <w:rPr>
            <w:rStyle w:val="Hyperlink"/>
            <w:lang w:val="en"/>
          </w:rPr>
          <w:t xml:space="preserve">https://owasp.org/www-project-citizen-development-top10-security-risks/</w:t>
        </w:r>
      </w:hyperlink>
      <w:r>
        <w:rPr>
          <w:lang w:val="en"/>
        </w:rPr>
        <w:t xml:space="preserve"> </w:t>
      </w:r>
      <w:r>
        <w:rPr>
          <w:lang w:val="en"/>
        </w:rPr>
        <w:t xml:space="preserve">(unreliable when checked), accessed 2026-10-21.</w:t>
      </w:r>
    </w:p>
    <w:bookmarkEnd w:id="71"/>
    <w:bookmarkStart w:id="73" w:name="fn:owaspllm"/>
    <w:p>
      <w:pPr>
        <w:numPr>
          <w:ilvl w:val="0"/>
          <w:numId w:val="1006"/>
        </w:numPr>
      </w:pPr>
      <w:r>
        <w:rPr>
          <w:lang w:val="en"/>
        </w:rPr>
        <w:t xml:space="preserve">OWASP, Top 10 for LLM Applications, 2025 edition,</w:t>
      </w:r>
      <w:r>
        <w:rPr>
          <w:lang w:val="en"/>
        </w:rPr>
        <w:t xml:space="preserve"> </w:t>
      </w:r>
      <w:hyperlink r:id="rId72">
        <w:r>
          <w:rPr>
            <w:rStyle w:val="Hyperlink"/>
            <w:lang w:val="en"/>
          </w:rPr>
          <w:t xml:space="preserve">https://genai.owasp.org/llm-top-10/</w:t>
        </w:r>
      </w:hyperlink>
      <w:r>
        <w:rPr>
          <w:lang w:val="en"/>
        </w:rPr>
        <w:t xml:space="preserve"> </w:t>
      </w:r>
      <w:r>
        <w:rPr>
          <w:lang w:val="en"/>
        </w:rPr>
        <w:t xml:space="preserve">[primary], accessed 2026-10-21.</w:t>
      </w:r>
    </w:p>
    <w:bookmarkEnd w:id="73"/>
    <w:bookmarkStart w:id="75" w:name="fn:owaspagentic"/>
    <w:p>
      <w:pPr>
        <w:numPr>
          <w:ilvl w:val="0"/>
          <w:numId w:val="1006"/>
        </w:numPr>
      </w:pPr>
      <w:r>
        <w:rPr>
          <w:lang w:val="en"/>
        </w:rPr>
        <w:t xml:space="preserve">OWASP, Top 10 for Agentic Applications for 2026, released 9 Dec 2025,</w:t>
      </w:r>
      <w:r>
        <w:rPr>
          <w:lang w:val="en"/>
        </w:rPr>
        <w:t xml:space="preserve"> </w:t>
      </w:r>
      <w:hyperlink r:id="rId74">
        <w:r>
          <w:rPr>
            <w:rStyle w:val="Hyperlink"/>
            <w:lang w:val="en"/>
          </w:rPr>
          <w:t xml:space="preserve">https://genai.owasp.org/resource/owasp-top-10-for-agentic-applications-for-2026/</w:t>
        </w:r>
      </w:hyperlink>
      <w:r>
        <w:rPr>
          <w:lang w:val="en"/>
        </w:rPr>
        <w:t xml:space="preserve"> </w:t>
      </w:r>
      <w:r>
        <w:rPr>
          <w:lang w:val="en"/>
        </w:rPr>
        <w:t xml:space="preserve">[primary; the item names were confirmed through secondary sources], accessed 2026-10-22.</w:t>
      </w:r>
    </w:p>
    <w:bookmarkEnd w:id="75"/>
    <w:bookmarkStart w:id="77" w:name="fn:mcp"/>
    <w:p>
      <w:pPr>
        <w:numPr>
          <w:ilvl w:val="0"/>
          <w:numId w:val="1006"/>
        </w:numPr>
      </w:pPr>
      <w:r>
        <w:rPr>
          <w:lang w:val="en"/>
        </w:rPr>
        <w:t xml:space="preserve">Model Context Protocol, specification 2026-07-28 and security best practices,</w:t>
      </w:r>
      <w:r>
        <w:rPr>
          <w:lang w:val="en"/>
        </w:rPr>
        <w:t xml:space="preserve"> </w:t>
      </w:r>
      <w:hyperlink r:id="rId76">
        <w:r>
          <w:rPr>
            <w:rStyle w:val="Hyperlink"/>
            <w:lang w:val="en"/>
          </w:rPr>
          <w:t xml:space="preserve">https://modelcontextprotocol.io/specification/2026-07-28/basic/security_best_practices</w:t>
        </w:r>
      </w:hyperlink>
      <w:r>
        <w:rPr>
          <w:lang w:val="en"/>
        </w:rPr>
        <w:t xml:space="preserve"> </w:t>
      </w:r>
      <w:r>
        <w:rPr>
          <w:lang w:val="en"/>
        </w:rPr>
        <w:t xml:space="preserve">[primary], accessed 2026-10-21.</w:t>
      </w:r>
    </w:p>
    <w:bookmarkEnd w:id="77"/>
    <w:bookmarkStart w:id="79" w:name="fn:slsa"/>
    <w:p>
      <w:pPr>
        <w:numPr>
          <w:ilvl w:val="0"/>
          <w:numId w:val="1006"/>
        </w:numPr>
      </w:pPr>
      <w:r>
        <w:rPr>
          <w:lang w:val="en"/>
        </w:rPr>
        <w:t xml:space="preserve">SLSA, "What's new in SLSA v1.2",</w:t>
      </w:r>
      <w:r>
        <w:rPr>
          <w:lang w:val="en"/>
        </w:rPr>
        <w:t xml:space="preserve"> </w:t>
      </w:r>
      <w:hyperlink r:id="rId78">
        <w:r>
          <w:rPr>
            <w:rStyle w:val="Hyperlink"/>
            <w:lang w:val="en"/>
          </w:rPr>
          <w:t xml:space="preserve">https://slsa.dev/spec/v1.2/whats-new</w:t>
        </w:r>
      </w:hyperlink>
      <w:r>
        <w:rPr>
          <w:lang w:val="en"/>
        </w:rPr>
        <w:t xml:space="preserve"> </w:t>
      </w:r>
      <w:r>
        <w:rPr>
          <w:lang w:val="en"/>
        </w:rPr>
        <w:t xml:space="preserve">[primary], accessed 2026-10-21.</w:t>
      </w:r>
    </w:p>
    <w:bookmarkEnd w:id="79"/>
    <w:bookmarkStart w:id="81" w:name="fn:openssf"/>
    <w:p>
      <w:pPr>
        <w:numPr>
          <w:ilvl w:val="0"/>
          <w:numId w:val="1006"/>
        </w:numPr>
      </w:pPr>
      <w:r>
        <w:rPr>
          <w:lang w:val="en"/>
        </w:rPr>
        <w:t xml:space="preserve">OpenSSF Best Practices and AI/ML Working Groups, Security-Focused Guide for AI Code Assistant Instructions, 1 Aug 2025,</w:t>
      </w:r>
      <w:r>
        <w:rPr>
          <w:lang w:val="en"/>
        </w:rPr>
        <w:t xml:space="preserve"> </w:t>
      </w:r>
      <w:hyperlink r:id="rId80">
        <w:r>
          <w:rPr>
            <w:rStyle w:val="Hyperlink"/>
            <w:lang w:val="en"/>
          </w:rPr>
          <w:t xml:space="preserve">https://best.openssf.org/Security-Focused-Guide-for-AI-Code-Assistant-Instructions</w:t>
        </w:r>
      </w:hyperlink>
      <w:r>
        <w:rPr>
          <w:lang w:val="en"/>
        </w:rPr>
        <w:t xml:space="preserve"> </w:t>
      </w:r>
      <w:r>
        <w:rPr>
          <w:lang w:val="en"/>
        </w:rPr>
        <w:t xml:space="preserve">[primary], accessed 2026-10-21.</w:t>
      </w:r>
    </w:p>
    <w:bookmarkEnd w:id="81"/>
    <w:bookmarkStart w:id="84" w:name="fn:wcag"/>
    <w:p>
      <w:pPr>
        <w:numPr>
          <w:ilvl w:val="0"/>
          <w:numId w:val="1006"/>
        </w:numPr>
      </w:pPr>
      <w:r>
        <w:rPr>
          <w:lang w:val="en"/>
        </w:rPr>
        <w:t xml:space="preserve">W3C, Web Content Accessibility Guidelines (WCAG) 2.2,</w:t>
      </w:r>
      <w:r>
        <w:rPr>
          <w:lang w:val="en"/>
        </w:rPr>
        <w:t xml:space="preserve"> </w:t>
      </w:r>
      <w:hyperlink r:id="rId82">
        <w:r>
          <w:rPr>
            <w:rStyle w:val="Hyperlink"/>
            <w:lang w:val="en"/>
          </w:rPr>
          <w:t xml:space="preserve">https://www.w3.org/TR/WCAG22/</w:t>
        </w:r>
      </w:hyperlink>
      <w:r>
        <w:rPr>
          <w:lang w:val="en"/>
        </w:rPr>
        <w:t xml:space="preserve">; What's new in WCAG 2.2,</w:t>
      </w:r>
      <w:r>
        <w:rPr>
          <w:lang w:val="en"/>
        </w:rPr>
        <w:t xml:space="preserve"> </w:t>
      </w:r>
      <w:hyperlink r:id="rId83">
        <w:r>
          <w:rPr>
            <w:rStyle w:val="Hyperlink"/>
            <w:lang w:val="en"/>
          </w:rPr>
          <w:t xml:space="preserve">https://www.w3.org/WAI/standards-guidelines/wcag/new-in-22/</w:t>
        </w:r>
      </w:hyperlink>
      <w:r>
        <w:rPr>
          <w:lang w:val="en"/>
        </w:rPr>
        <w:t xml:space="preserve"> </w:t>
      </w:r>
      <w:r>
        <w:rPr>
          <w:lang w:val="en"/>
        </w:rPr>
        <w:t xml:space="preserve">[primary], accessed 2026-10-22.</w:t>
      </w:r>
    </w:p>
    <w:bookmarkEnd w:id="84"/>
    <w:bookmarkStart w:id="86" w:name="fn:cisa"/>
    <w:p>
      <w:pPr>
        <w:numPr>
          <w:ilvl w:val="0"/>
          <w:numId w:val="1006"/>
        </w:numPr>
      </w:pPr>
      <w:r>
        <w:rPr>
          <w:lang w:val="en"/>
        </w:rPr>
        <w:t xml:space="preserve">CISA, Secure by Design,</w:t>
      </w:r>
      <w:r>
        <w:rPr>
          <w:lang w:val="en"/>
        </w:rPr>
        <w:t xml:space="preserve"> </w:t>
      </w:r>
      <w:hyperlink r:id="rId85">
        <w:r>
          <w:rPr>
            <w:rStyle w:val="Hyperlink"/>
            <w:lang w:val="en"/>
          </w:rPr>
          <w:t xml:space="preserve">https://www.cisa.gov/securebydesign</w:t>
        </w:r>
      </w:hyperlink>
      <w:r>
        <w:rPr>
          <w:lang w:val="en"/>
        </w:rPr>
        <w:t xml:space="preserve"> </w:t>
      </w:r>
      <w:r>
        <w:rPr>
          <w:lang w:val="en"/>
        </w:rPr>
        <w:t xml:space="preserve">[regulator], accessed 2026-10-22.</w:t>
      </w:r>
    </w:p>
    <w:bookmarkEnd w:id="86"/>
    <w:bookmarkStart w:id="88" w:name="fn:imda"/>
    <w:p>
      <w:pPr>
        <w:numPr>
          <w:ilvl w:val="0"/>
          <w:numId w:val="1006"/>
        </w:numPr>
      </w:pPr>
      <w:r>
        <w:rPr>
          <w:lang w:val="en"/>
        </w:rPr>
        <w:t xml:space="preserve">IMDA (Singapore), Model AI Governance Framework for Agentic AI, v1.5, May 2026,</w:t>
      </w:r>
      <w:r>
        <w:rPr>
          <w:lang w:val="en"/>
        </w:rPr>
        <w:t xml:space="preserve"> </w:t>
      </w:r>
      <w:hyperlink r:id="rId87">
        <w:r>
          <w:rPr>
            <w:rStyle w:val="Hyperlink"/>
            <w:lang w:val="en"/>
          </w:rPr>
          <w:t xml:space="preserve">https://www.imda.gov.sg/-/media/imda/files/about/emerging-tech-and-research/artificial-intelligence/mgf-for-agentic-ai.pdf</w:t>
        </w:r>
      </w:hyperlink>
      <w:r>
        <w:rPr>
          <w:lang w:val="en"/>
        </w:rPr>
        <w:t xml:space="preserve"> </w:t>
      </w:r>
      <w:r>
        <w:rPr>
          <w:lang w:val="en"/>
        </w:rPr>
        <w:t xml:space="preserve">[regulator], accessed 2026-10-22.</w:t>
      </w:r>
    </w:p>
    <w:bookmarkEnd w:id="88"/>
    <w:bookmarkStart w:id="90" w:name="fn:ftc"/>
    <w:p>
      <w:pPr>
        <w:numPr>
          <w:ilvl w:val="0"/>
          <w:numId w:val="1006"/>
        </w:numPr>
      </w:pPr>
      <w:r>
        <w:rPr>
          <w:lang w:val="en"/>
        </w:rPr>
        <w:t xml:space="preserve">FTC, "FTC Announces Crackdown on Deceptive AI Claims and Schemes", 25 Sep 2024,</w:t>
      </w:r>
      <w:r>
        <w:rPr>
          <w:lang w:val="en"/>
        </w:rPr>
        <w:t xml:space="preserve"> </w:t>
      </w:r>
      <w:hyperlink r:id="rId89">
        <w:r>
          <w:rPr>
            <w:rStyle w:val="Hyperlink"/>
            <w:lang w:val="en"/>
          </w:rPr>
          <w:t xml:space="preserve">https://www.ftc.gov/news-events/news/press-releases/2024/09/ftc-announces-crackdown-deceptive-ai-claims-schemes</w:t>
        </w:r>
      </w:hyperlink>
      <w:r>
        <w:rPr>
          <w:lang w:val="en"/>
        </w:rPr>
        <w:t xml:space="preserve"> </w:t>
      </w:r>
      <w:r>
        <w:rPr>
          <w:lang w:val="en"/>
        </w:rPr>
        <w:t xml:space="preserve">[regulator], accessed 2026-10-21.</w:t>
      </w:r>
    </w:p>
    <w:bookmarkEnd w:id="90"/>
    <w:bookmarkStart w:id="92" w:name="fn:omb"/>
    <w:p>
      <w:pPr>
        <w:numPr>
          <w:ilvl w:val="0"/>
          <w:numId w:val="1006"/>
        </w:numPr>
      </w:pPr>
      <w:r>
        <w:rPr>
          <w:lang w:val="en"/>
        </w:rPr>
        <w:t xml:space="preserve">OMB, Memorandum M-25-21, 3 Apr 2025,</w:t>
      </w:r>
      <w:r>
        <w:rPr>
          <w:lang w:val="en"/>
        </w:rPr>
        <w:t xml:space="preserve"> </w:t>
      </w:r>
      <w:hyperlink r:id="rId91">
        <w:r>
          <w:rPr>
            <w:rStyle w:val="Hyperlink"/>
            <w:lang w:val="en"/>
          </w:rPr>
          <w:t xml:space="preserve">https://www.whitehouse.gov/wp-content/uploads/2025/02/M-25-21-Accelerating-Federal-Use-of-AI-through-Innovation-Governance-and-Public-Trust.pdf</w:t>
        </w:r>
      </w:hyperlink>
      <w:r>
        <w:rPr>
          <w:lang w:val="en"/>
        </w:rPr>
        <w:t xml:space="preserve"> </w:t>
      </w:r>
      <w:r>
        <w:rPr>
          <w:lang w:val="en"/>
        </w:rPr>
        <w:t xml:space="preserve">[primary], accessed 2026-10-21.</w:t>
      </w:r>
    </w:p>
    <w:bookmarkEnd w:id="92"/>
    <w:bookmarkStart w:id="94" w:name="fn:sr262"/>
    <w:p>
      <w:pPr>
        <w:numPr>
          <w:ilvl w:val="0"/>
          <w:numId w:val="1006"/>
        </w:numPr>
      </w:pPr>
      <w:r>
        <w:rPr>
          <w:lang w:val="en"/>
        </w:rPr>
        <w:t xml:space="preserve">Board of Governors of the Federal Reserve System, SR 26-2, Revised Guidance on Model Risk Management, 17 Apr 2026,</w:t>
      </w:r>
      <w:r>
        <w:rPr>
          <w:lang w:val="en"/>
        </w:rPr>
        <w:t xml:space="preserve"> </w:t>
      </w:r>
      <w:hyperlink r:id="rId93">
        <w:r>
          <w:rPr>
            <w:rStyle w:val="Hyperlink"/>
            <w:lang w:val="en"/>
          </w:rPr>
          <w:t xml:space="preserve">https://www.federalreserve.gov/supervisionreg/srletters/SR2602.htm</w:t>
        </w:r>
      </w:hyperlink>
      <w:r>
        <w:rPr>
          <w:lang w:val="en"/>
        </w:rPr>
        <w:t xml:space="preserve"> </w:t>
      </w:r>
      <w:r>
        <w:rPr>
          <w:lang w:val="en"/>
        </w:rPr>
        <w:t xml:space="preserve">[regulator], accessed 2026-10-22.</w:t>
      </w:r>
    </w:p>
    <w:bookmarkEnd w:id="94"/>
    <w:bookmarkStart w:id="96" w:name="fn:fs223"/>
    <w:p>
      <w:pPr>
        <w:numPr>
          <w:ilvl w:val="0"/>
          <w:numId w:val="1006"/>
        </w:numPr>
      </w:pPr>
      <w:r>
        <w:rPr>
          <w:lang w:val="en"/>
        </w:rPr>
        <w:t xml:space="preserve">Bank of England, PRA and FCA, FS2/23, Artificial Intelligence and Machine Learning, Oct 2023,</w:t>
      </w:r>
      <w:r>
        <w:rPr>
          <w:lang w:val="en"/>
        </w:rPr>
        <w:t xml:space="preserve"> </w:t>
      </w:r>
      <w:hyperlink r:id="rId95">
        <w:r>
          <w:rPr>
            <w:rStyle w:val="Hyperlink"/>
            <w:lang w:val="en"/>
          </w:rPr>
          <w:t xml:space="preserve">https://www.bankofengland.co.uk/prudential-regulation/publication/2023/october/artificial-intelligence-and-machine-learning</w:t>
        </w:r>
      </w:hyperlink>
      <w:r>
        <w:rPr>
          <w:lang w:val="en"/>
        </w:rPr>
        <w:t xml:space="preserve"> </w:t>
      </w:r>
      <w:r>
        <w:rPr>
          <w:lang w:val="en"/>
        </w:rPr>
        <w:t xml:space="preserve">[regulator], accessed 2026-10-22.</w:t>
      </w:r>
    </w:p>
    <w:bookmarkEnd w:id="96"/>
    <w:p>
      <w:pPr>
        <w:pStyle w:val="FirstParagraph"/>
      </w:pPr>
      <w:r>
        <w:rPr>
          <w:lang w:val="en"/>
        </w:rPr>
        <w:t xml:space="preserve">Prompt to Prototype, Standards crosswalk for worker-built apps,</w:t>
      </w:r>
      <w:r>
        <w:rPr>
          <w:lang w:val="en"/>
        </w:rPr>
        <w:t xml:space="preserve"> </w:t>
      </w:r>
      <w:hyperlink r:id="rId9">
        <w:r>
          <w:rPr>
            <w:rStyle w:val="Hyperlink"/>
            <w:lang w:val="en"/>
          </w:rPr>
          <w:t xml:space="preserve">https://prompt-to-prototype.com/governance/standards/</w:t>
        </w:r>
      </w:hyperlink>
      <w:r>
        <w:rPr>
          <w:lang w:val="en"/>
        </w:rPr>
        <w:t xml:space="preserve">, as of 2026-10-22. Licensed</w:t>
      </w:r>
      <w:r>
        <w:rPr>
          <w:lang w:val="en"/>
        </w:rPr>
        <w:t xml:space="preserve"> </w:t>
      </w:r>
      <w:hyperlink r:id="rId97">
        <w:r>
          <w:rPr>
            <w:rStyle w:val="Hyperlink"/>
            <w:lang w:val="en"/>
          </w:rPr>
          <w:t xml:space="preserve">CC BY-SA 4.0</w:t>
        </w:r>
      </w:hyperlink>
      <w:r>
        <w:rPr>
          <w:lang w:val="en"/>
        </w:rPr>
        <w:t xml:space="preserve">.</w:t>
      </w:r>
    </w:p>
    <w:bookmarkEnd w:id="98"/>
    <w:bookmarkEnd w:id="9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0" Target="https://best.openssf.org/Security-Focused-Guide-for-AI-Code-Assistant-Instructions" TargetMode="External" /><Relationship Type="http://schemas.openxmlformats.org/officeDocument/2006/relationships/hyperlink" Id="rId97" Target="https://creativecommons.org/licenses/by-sa/4.0/" TargetMode="External" /><Relationship Type="http://schemas.openxmlformats.org/officeDocument/2006/relationships/hyperlink" Id="rId53" Target="https://csrc.nist.gov/pubs/ir/8596/iprd" TargetMode="External" /><Relationship Type="http://schemas.openxmlformats.org/officeDocument/2006/relationships/hyperlink" Id="rId58" Target="https://csrc.nist.gov/pubs/sp/800/218/a/final" TargetMode="External" /><Relationship Type="http://schemas.openxmlformats.org/officeDocument/2006/relationships/hyperlink" Id="rId55" Target="https://csrc.nist.gov/pubs/sp/800/218/final" TargetMode="External" /><Relationship Type="http://schemas.openxmlformats.org/officeDocument/2006/relationships/hyperlink" Id="rId56" Target="https://csrc.nist.gov/pubs/sp/800/218/r1/ipd" TargetMode="External" /><Relationship Type="http://schemas.openxmlformats.org/officeDocument/2006/relationships/hyperlink" Id="rId72" Target="https://genai.owasp.org/llm-top-10/" TargetMode="External" /><Relationship Type="http://schemas.openxmlformats.org/officeDocument/2006/relationships/hyperlink" Id="rId74" Target="https://genai.owasp.org/resource/owasp-top-10-for-agentic-applications-for-2026/" TargetMode="External" /><Relationship Type="http://schemas.openxmlformats.org/officeDocument/2006/relationships/hyperlink" Id="rId69" Target="https://github.com/OWASP/www-project-citizen-development-top10-security-risks" TargetMode="External" /><Relationship Type="http://schemas.openxmlformats.org/officeDocument/2006/relationships/hyperlink" Id="rId76" Target="https://modelcontextprotocol.io/specification/2026-07-28/basic/security_best_practices" TargetMode="External" /><Relationship Type="http://schemas.openxmlformats.org/officeDocument/2006/relationships/hyperlink" Id="rId51" Target="https://nvlpubs.nist.gov/nistpubs/CSWP/NIST.CSWP.29.pdf" TargetMode="External" /><Relationship Type="http://schemas.openxmlformats.org/officeDocument/2006/relationships/hyperlink" Id="rId49" Target="https://nvlpubs.nist.gov/nistpubs/ai/NIST.AI.600-1.pdf" TargetMode="External" /><Relationship Type="http://schemas.openxmlformats.org/officeDocument/2006/relationships/hyperlink" Id="rId70" Target="https://owasp.org/www-project-citizen-development-top10-security-risks/" TargetMode="External" /><Relationship Type="http://schemas.openxmlformats.org/officeDocument/2006/relationships/hyperlink" Id="rId15" Target="https://prompt-to-prototype.com/build/evaluate-an-ai-feature/" TargetMode="External" /><Relationship Type="http://schemas.openxmlformats.org/officeDocument/2006/relationships/hyperlink" Id="rId13" Target="https://prompt-to-prototype.com/governance/" TargetMode="External" /><Relationship Type="http://schemas.openxmlformats.org/officeDocument/2006/relationships/hyperlink" Id="rId46" Target="https://prompt-to-prototype.com/governance/compliance/" TargetMode="External" /><Relationship Type="http://schemas.openxmlformats.org/officeDocument/2006/relationships/hyperlink" Id="rId40" Target="https://prompt-to-prototype.com/governance/compliance/#claims-register" TargetMode="External" /><Relationship Type="http://schemas.openxmlformats.org/officeDocument/2006/relationships/hyperlink" Id="rId22" Target="https://prompt-to-prototype.com/governance/compliance/#depends-on-your-circumstances" TargetMode="External" /><Relationship Type="http://schemas.openxmlformats.org/officeDocument/2006/relationships/hyperlink" Id="rId20" Target="https://prompt-to-prototype.com/governance/compliance/#soc-2" TargetMode="External" /><Relationship Type="http://schemas.openxmlformats.org/officeDocument/2006/relationships/hyperlink" Id="rId37" Target="https://prompt-to-prototype.com/governance/compliance/#what-applies-when" TargetMode="External" /><Relationship Type="http://schemas.openxmlformats.org/officeDocument/2006/relationships/hyperlink" Id="rId21" Target="https://prompt-to-prototype.com/governance/data-handling/" TargetMode="External" /><Relationship Type="http://schemas.openxmlformats.org/officeDocument/2006/relationships/hyperlink" Id="rId42" Target="https://prompt-to-prototype.com/governance/eu-ai-act/" TargetMode="External" /><Relationship Type="http://schemas.openxmlformats.org/officeDocument/2006/relationships/hyperlink" Id="rId30" Target="https://prompt-to-prototype.com/governance/standards-crosswalk.csv" TargetMode="External" /><Relationship Type="http://schemas.openxmlformats.org/officeDocument/2006/relationships/hyperlink" Id="rId9" Target="https://prompt-to-prototype.com/governance/standards/" TargetMode="External" /><Relationship Type="http://schemas.openxmlformats.org/officeDocument/2006/relationships/hyperlink" Id="rId10" Target="https://prompt-to-prototype.com/governance/us-canada-laws/" TargetMode="External" /><Relationship Type="http://schemas.openxmlformats.org/officeDocument/2006/relationships/hyperlink" Id="rId18" Target="https://prompt-to-prototype.com/lifecycle/change/" TargetMode="External" /><Relationship Type="http://schemas.openxmlformats.org/officeDocument/2006/relationships/hyperlink" Id="rId19" Target="https://prompt-to-prototype.com/lifecycle/intake/" TargetMode="External" /><Relationship Type="http://schemas.openxmlformats.org/officeDocument/2006/relationships/hyperlink" Id="rId29" Target="https://prompt-to-prototype.com/lifecycle/production-ready/#accessibility" TargetMode="External" /><Relationship Type="http://schemas.openxmlformats.org/officeDocument/2006/relationships/hyperlink" Id="rId36" Target="https://prompt-to-prototype.com/lifecycle/retire/" TargetMode="External" /><Relationship Type="http://schemas.openxmlformats.org/officeDocument/2006/relationships/hyperlink" Id="rId34" Target="https://prompt-to-prototype.com/lifecycle/verify/" TargetMode="External" /><Relationship Type="http://schemas.openxmlformats.org/officeDocument/2006/relationships/hyperlink" Id="rId32" Target="https://prompt-to-prototype.com/operating-model/app-registry/" TargetMode="External" /><Relationship Type="http://schemas.openxmlformats.org/officeDocument/2006/relationships/hyperlink" Id="rId14" Target="https://prompt-to-prototype.com/operating-model/risk-tiers/" TargetMode="External" /><Relationship Type="http://schemas.openxmlformats.org/officeDocument/2006/relationships/hyperlink" Id="rId38" Target="https://prompt-to-prototype.com/operating-model/risk-tiers/#the-audit-scope-flag" TargetMode="External" /><Relationship Type="http://schemas.openxmlformats.org/officeDocument/2006/relationships/hyperlink" Id="rId11" Target="https://prompt-to-prototype.com/operating-model/risk-tiers/#the-six-tier-questions" TargetMode="External" /><Relationship Type="http://schemas.openxmlformats.org/officeDocument/2006/relationships/hyperlink" Id="rId35" Target="https://prompt-to-prototype.com/operating-model/when-the-builder-leaves/" TargetMode="External" /><Relationship Type="http://schemas.openxmlformats.org/officeDocument/2006/relationships/hyperlink" Id="rId33" Target="https://prompt-to-prototype.com/platform/approve-tools/" TargetMode="External" /><Relationship Type="http://schemas.openxmlformats.org/officeDocument/2006/relationships/hyperlink" Id="rId17" Target="https://prompt-to-prototype.com/security/" TargetMode="External" /><Relationship Type="http://schemas.openxmlformats.org/officeDocument/2006/relationships/hyperlink" Id="rId28" Target="https://prompt-to-prototype.com/security/#dependencies" TargetMode="External" /><Relationship Type="http://schemas.openxmlformats.org/officeDocument/2006/relationships/hyperlink" Id="rId23" Target="https://prompt-to-prototype.com/security/#mapping-to-the-owasp-citizen-development-top-10" TargetMode="External" /><Relationship Type="http://schemas.openxmlformats.org/officeDocument/2006/relationships/hyperlink" Id="rId16" Target="https://prompt-to-prototype.com/security/ai-features/" TargetMode="External" /><Relationship Type="http://schemas.openxmlformats.org/officeDocument/2006/relationships/hyperlink" Id="rId24" Target="https://prompt-to-prototype.com/security/ai-features/#threat-model" TargetMode="External" /><Relationship Type="http://schemas.openxmlformats.org/officeDocument/2006/relationships/hyperlink" Id="rId26" Target="https://prompt-to-prototype.com/security/coding-agents/" TargetMode="External" /><Relationship Type="http://schemas.openxmlformats.org/officeDocument/2006/relationships/hyperlink" Id="rId25" Target="https://prompt-to-prototype.com/security/mcp-and-agents/" TargetMode="External" /><Relationship Type="http://schemas.openxmlformats.org/officeDocument/2006/relationships/hyperlink" Id="rId27" Target="https://prompt-to-prototype.com/security/mcp-and-agents/#the-baseline-eight-controls" TargetMode="External" /><Relationship Type="http://schemas.openxmlformats.org/officeDocument/2006/relationships/hyperlink" Id="rId67" Target="https://secureframe.com/blog/pci-dss-4.0.1" TargetMode="External" /><Relationship Type="http://schemas.openxmlformats.org/officeDocument/2006/relationships/hyperlink" Id="rId78" Target="https://slsa.dev/spec/v1.2/whats-new" TargetMode="External" /><Relationship Type="http://schemas.openxmlformats.org/officeDocument/2006/relationships/hyperlink" Id="rId64" Target="https://www.aicpa-cima.com/resources/download/2017-trust-services-criteria-with-revised-points-of-focus-2022" TargetMode="External" /><Relationship Type="http://schemas.openxmlformats.org/officeDocument/2006/relationships/hyperlink" Id="rId95" Target="https://www.bankofengland.co.uk/prudential-regulation/publication/2023/october/artificial-intelligence-and-machine-learning" TargetMode="External" /><Relationship Type="http://schemas.openxmlformats.org/officeDocument/2006/relationships/hyperlink" Id="rId85" Target="https://www.cisa.gov/securebydesign" TargetMode="External" /><Relationship Type="http://schemas.openxmlformats.org/officeDocument/2006/relationships/hyperlink" Id="rId93" Target="https://www.federalreserve.gov/supervisionreg/srletters/SR2602.htm" TargetMode="External" /><Relationship Type="http://schemas.openxmlformats.org/officeDocument/2006/relationships/hyperlink" Id="rId89" Target="https://www.ftc.gov/news-events/news/press-releases/2024/09/ftc-announces-crackdown-deceptive-ai-claims-schemes" TargetMode="External" /><Relationship Type="http://schemas.openxmlformats.org/officeDocument/2006/relationships/hyperlink" Id="rId87" Target="https://www.imda.gov.sg/-/media/imda/files/about/emerging-tech-and-research/artificial-intelligence/mgf-for-agentic-ai.pdf" TargetMode="External" /><Relationship Type="http://schemas.openxmlformats.org/officeDocument/2006/relationships/hyperlink" Id="rId62" Target="https://www.iso.org/standard/27001" TargetMode="External" /><Relationship Type="http://schemas.openxmlformats.org/officeDocument/2006/relationships/hyperlink" Id="rId60" Target="https://www.iso.org/standard/81230.html" TargetMode="External" /><Relationship Type="http://schemas.openxmlformats.org/officeDocument/2006/relationships/hyperlink" Id="rId47" Target="https://www.nist.gov/itl/ai-risk-management-framework" TargetMode="External" /><Relationship Type="http://schemas.openxmlformats.org/officeDocument/2006/relationships/hyperlink" Id="rId66" Target="https://www.pcisecuritystandards.org/document_library/" TargetMode="External" /><Relationship Type="http://schemas.openxmlformats.org/officeDocument/2006/relationships/hyperlink" Id="rId82" Target="https://www.w3.org/TR/WCAG22/" TargetMode="External" /><Relationship Type="http://schemas.openxmlformats.org/officeDocument/2006/relationships/hyperlink" Id="rId83" Target="https://www.w3.org/WAI/standards-guidelines/wcag/new-in-22/" TargetMode="External" /><Relationship Type="http://schemas.openxmlformats.org/officeDocument/2006/relationships/hyperlink" Id="rId91" Target="https://www.whitehouse.gov/wp-content/uploads/2025/02/M-25-21-Accelerating-Federal-Use-of-AI-through-Innovation-Governance-and-Public-Trust.pdf" TargetMode="External" /></Relationships>
</file>

<file path=word/_rels/footnotes.xml.rels><?xml version="1.0" encoding="UTF-8"?><Relationships xmlns="http://schemas.openxmlformats.org/package/2006/relationships"><Relationship Type="http://schemas.openxmlformats.org/officeDocument/2006/relationships/hyperlink" Id="rId80" Target="https://best.openssf.org/Security-Focused-Guide-for-AI-Code-Assistant-Instructions" TargetMode="External" /><Relationship Type="http://schemas.openxmlformats.org/officeDocument/2006/relationships/hyperlink" Id="rId97" Target="https://creativecommons.org/licenses/by-sa/4.0/" TargetMode="External" /><Relationship Type="http://schemas.openxmlformats.org/officeDocument/2006/relationships/hyperlink" Id="rId53" Target="https://csrc.nist.gov/pubs/ir/8596/iprd" TargetMode="External" /><Relationship Type="http://schemas.openxmlformats.org/officeDocument/2006/relationships/hyperlink" Id="rId58" Target="https://csrc.nist.gov/pubs/sp/800/218/a/final" TargetMode="External" /><Relationship Type="http://schemas.openxmlformats.org/officeDocument/2006/relationships/hyperlink" Id="rId55" Target="https://csrc.nist.gov/pubs/sp/800/218/final" TargetMode="External" /><Relationship Type="http://schemas.openxmlformats.org/officeDocument/2006/relationships/hyperlink" Id="rId56" Target="https://csrc.nist.gov/pubs/sp/800/218/r1/ipd" TargetMode="External" /><Relationship Type="http://schemas.openxmlformats.org/officeDocument/2006/relationships/hyperlink" Id="rId72" Target="https://genai.owasp.org/llm-top-10/" TargetMode="External" /><Relationship Type="http://schemas.openxmlformats.org/officeDocument/2006/relationships/hyperlink" Id="rId74" Target="https://genai.owasp.org/resource/owasp-top-10-for-agentic-applications-for-2026/" TargetMode="External" /><Relationship Type="http://schemas.openxmlformats.org/officeDocument/2006/relationships/hyperlink" Id="rId69" Target="https://github.com/OWASP/www-project-citizen-development-top10-security-risks" TargetMode="External" /><Relationship Type="http://schemas.openxmlformats.org/officeDocument/2006/relationships/hyperlink" Id="rId76" Target="https://modelcontextprotocol.io/specification/2026-07-28/basic/security_best_practices" TargetMode="External" /><Relationship Type="http://schemas.openxmlformats.org/officeDocument/2006/relationships/hyperlink" Id="rId51" Target="https://nvlpubs.nist.gov/nistpubs/CSWP/NIST.CSWP.29.pdf" TargetMode="External" /><Relationship Type="http://schemas.openxmlformats.org/officeDocument/2006/relationships/hyperlink" Id="rId49" Target="https://nvlpubs.nist.gov/nistpubs/ai/NIST.AI.600-1.pdf" TargetMode="External" /><Relationship Type="http://schemas.openxmlformats.org/officeDocument/2006/relationships/hyperlink" Id="rId70" Target="https://owasp.org/www-project-citizen-development-top10-security-risks/" TargetMode="External" /><Relationship Type="http://schemas.openxmlformats.org/officeDocument/2006/relationships/hyperlink" Id="rId15" Target="https://prompt-to-prototype.com/build/evaluate-an-ai-feature/" TargetMode="External" /><Relationship Type="http://schemas.openxmlformats.org/officeDocument/2006/relationships/hyperlink" Id="rId13" Target="https://prompt-to-prototype.com/governance/" TargetMode="External" /><Relationship Type="http://schemas.openxmlformats.org/officeDocument/2006/relationships/hyperlink" Id="rId46" Target="https://prompt-to-prototype.com/governance/compliance/" TargetMode="External" /><Relationship Type="http://schemas.openxmlformats.org/officeDocument/2006/relationships/hyperlink" Id="rId40" Target="https://prompt-to-prototype.com/governance/compliance/#claims-register" TargetMode="External" /><Relationship Type="http://schemas.openxmlformats.org/officeDocument/2006/relationships/hyperlink" Id="rId22" Target="https://prompt-to-prototype.com/governance/compliance/#depends-on-your-circumstances" TargetMode="External" /><Relationship Type="http://schemas.openxmlformats.org/officeDocument/2006/relationships/hyperlink" Id="rId20" Target="https://prompt-to-prototype.com/governance/compliance/#soc-2" TargetMode="External" /><Relationship Type="http://schemas.openxmlformats.org/officeDocument/2006/relationships/hyperlink" Id="rId37" Target="https://prompt-to-prototype.com/governance/compliance/#what-applies-when" TargetMode="External" /><Relationship Type="http://schemas.openxmlformats.org/officeDocument/2006/relationships/hyperlink" Id="rId21" Target="https://prompt-to-prototype.com/governance/data-handling/" TargetMode="External" /><Relationship Type="http://schemas.openxmlformats.org/officeDocument/2006/relationships/hyperlink" Id="rId42" Target="https://prompt-to-prototype.com/governance/eu-ai-act/" TargetMode="External" /><Relationship Type="http://schemas.openxmlformats.org/officeDocument/2006/relationships/hyperlink" Id="rId30" Target="https://prompt-to-prototype.com/governance/standards-crosswalk.csv" TargetMode="External" /><Relationship Type="http://schemas.openxmlformats.org/officeDocument/2006/relationships/hyperlink" Id="rId9" Target="https://prompt-to-prototype.com/governance/standards/" TargetMode="External" /><Relationship Type="http://schemas.openxmlformats.org/officeDocument/2006/relationships/hyperlink" Id="rId10" Target="https://prompt-to-prototype.com/governance/us-canada-laws/" TargetMode="External" /><Relationship Type="http://schemas.openxmlformats.org/officeDocument/2006/relationships/hyperlink" Id="rId18" Target="https://prompt-to-prototype.com/lifecycle/change/" TargetMode="External" /><Relationship Type="http://schemas.openxmlformats.org/officeDocument/2006/relationships/hyperlink" Id="rId19" Target="https://prompt-to-prototype.com/lifecycle/intake/" TargetMode="External" /><Relationship Type="http://schemas.openxmlformats.org/officeDocument/2006/relationships/hyperlink" Id="rId29" Target="https://prompt-to-prototype.com/lifecycle/production-ready/#accessibility" TargetMode="External" /><Relationship Type="http://schemas.openxmlformats.org/officeDocument/2006/relationships/hyperlink" Id="rId36" Target="https://prompt-to-prototype.com/lifecycle/retire/" TargetMode="External" /><Relationship Type="http://schemas.openxmlformats.org/officeDocument/2006/relationships/hyperlink" Id="rId34" Target="https://prompt-to-prototype.com/lifecycle/verify/" TargetMode="External" /><Relationship Type="http://schemas.openxmlformats.org/officeDocument/2006/relationships/hyperlink" Id="rId32" Target="https://prompt-to-prototype.com/operating-model/app-registry/" TargetMode="External" /><Relationship Type="http://schemas.openxmlformats.org/officeDocument/2006/relationships/hyperlink" Id="rId14" Target="https://prompt-to-prototype.com/operating-model/risk-tiers/" TargetMode="External" /><Relationship Type="http://schemas.openxmlformats.org/officeDocument/2006/relationships/hyperlink" Id="rId38" Target="https://prompt-to-prototype.com/operating-model/risk-tiers/#the-audit-scope-flag" TargetMode="External" /><Relationship Type="http://schemas.openxmlformats.org/officeDocument/2006/relationships/hyperlink" Id="rId11" Target="https://prompt-to-prototype.com/operating-model/risk-tiers/#the-six-tier-questions" TargetMode="External" /><Relationship Type="http://schemas.openxmlformats.org/officeDocument/2006/relationships/hyperlink" Id="rId35" Target="https://prompt-to-prototype.com/operating-model/when-the-builder-leaves/" TargetMode="External" /><Relationship Type="http://schemas.openxmlformats.org/officeDocument/2006/relationships/hyperlink" Id="rId33" Target="https://prompt-to-prototype.com/platform/approve-tools/" TargetMode="External" /><Relationship Type="http://schemas.openxmlformats.org/officeDocument/2006/relationships/hyperlink" Id="rId17" Target="https://prompt-to-prototype.com/security/" TargetMode="External" /><Relationship Type="http://schemas.openxmlformats.org/officeDocument/2006/relationships/hyperlink" Id="rId28" Target="https://prompt-to-prototype.com/security/#dependencies" TargetMode="External" /><Relationship Type="http://schemas.openxmlformats.org/officeDocument/2006/relationships/hyperlink" Id="rId23" Target="https://prompt-to-prototype.com/security/#mapping-to-the-owasp-citizen-development-top-10" TargetMode="External" /><Relationship Type="http://schemas.openxmlformats.org/officeDocument/2006/relationships/hyperlink" Id="rId16" Target="https://prompt-to-prototype.com/security/ai-features/" TargetMode="External" /><Relationship Type="http://schemas.openxmlformats.org/officeDocument/2006/relationships/hyperlink" Id="rId24" Target="https://prompt-to-prototype.com/security/ai-features/#threat-model" TargetMode="External" /><Relationship Type="http://schemas.openxmlformats.org/officeDocument/2006/relationships/hyperlink" Id="rId26" Target="https://prompt-to-prototype.com/security/coding-agents/" TargetMode="External" /><Relationship Type="http://schemas.openxmlformats.org/officeDocument/2006/relationships/hyperlink" Id="rId25" Target="https://prompt-to-prototype.com/security/mcp-and-agents/" TargetMode="External" /><Relationship Type="http://schemas.openxmlformats.org/officeDocument/2006/relationships/hyperlink" Id="rId27" Target="https://prompt-to-prototype.com/security/mcp-and-agents/#the-baseline-eight-controls" TargetMode="External" /><Relationship Type="http://schemas.openxmlformats.org/officeDocument/2006/relationships/hyperlink" Id="rId67" Target="https://secureframe.com/blog/pci-dss-4.0.1" TargetMode="External" /><Relationship Type="http://schemas.openxmlformats.org/officeDocument/2006/relationships/hyperlink" Id="rId78" Target="https://slsa.dev/spec/v1.2/whats-new" TargetMode="External" /><Relationship Type="http://schemas.openxmlformats.org/officeDocument/2006/relationships/hyperlink" Id="rId64" Target="https://www.aicpa-cima.com/resources/download/2017-trust-services-criteria-with-revised-points-of-focus-2022" TargetMode="External" /><Relationship Type="http://schemas.openxmlformats.org/officeDocument/2006/relationships/hyperlink" Id="rId95" Target="https://www.bankofengland.co.uk/prudential-regulation/publication/2023/october/artificial-intelligence-and-machine-learning" TargetMode="External" /><Relationship Type="http://schemas.openxmlformats.org/officeDocument/2006/relationships/hyperlink" Id="rId85" Target="https://www.cisa.gov/securebydesign" TargetMode="External" /><Relationship Type="http://schemas.openxmlformats.org/officeDocument/2006/relationships/hyperlink" Id="rId93" Target="https://www.federalreserve.gov/supervisionreg/srletters/SR2602.htm" TargetMode="External" /><Relationship Type="http://schemas.openxmlformats.org/officeDocument/2006/relationships/hyperlink" Id="rId89" Target="https://www.ftc.gov/news-events/news/press-releases/2024/09/ftc-announces-crackdown-deceptive-ai-claims-schemes" TargetMode="External" /><Relationship Type="http://schemas.openxmlformats.org/officeDocument/2006/relationships/hyperlink" Id="rId87" Target="https://www.imda.gov.sg/-/media/imda/files/about/emerging-tech-and-research/artificial-intelligence/mgf-for-agentic-ai.pdf" TargetMode="External" /><Relationship Type="http://schemas.openxmlformats.org/officeDocument/2006/relationships/hyperlink" Id="rId62" Target="https://www.iso.org/standard/27001" TargetMode="External" /><Relationship Type="http://schemas.openxmlformats.org/officeDocument/2006/relationships/hyperlink" Id="rId60" Target="https://www.iso.org/standard/81230.html" TargetMode="External" /><Relationship Type="http://schemas.openxmlformats.org/officeDocument/2006/relationships/hyperlink" Id="rId47" Target="https://www.nist.gov/itl/ai-risk-management-framework" TargetMode="External" /><Relationship Type="http://schemas.openxmlformats.org/officeDocument/2006/relationships/hyperlink" Id="rId66" Target="https://www.pcisecuritystandards.org/document_library/" TargetMode="External" /><Relationship Type="http://schemas.openxmlformats.org/officeDocument/2006/relationships/hyperlink" Id="rId82" Target="https://www.w3.org/TR/WCAG22/" TargetMode="External" /><Relationship Type="http://schemas.openxmlformats.org/officeDocument/2006/relationships/hyperlink" Id="rId83" Target="https://www.w3.org/WAI/standards-guidelines/wcag/new-in-22/" TargetMode="External" /><Relationship Type="http://schemas.openxmlformats.org/officeDocument/2006/relationships/hyperlink" Id="rId91" Target="https://www.whitehouse.gov/wp-content/uploads/2025/02/M-25-21-Accelerating-Federal-Use-of-AI-through-Innovation-Governance-and-Public-Trust.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0</TotalTime>
  <ScaleCrop>false</ScaleCrop>
  <Characters>475</Characters>
  <Paragraphs>8</Paragraphs>
  <Pages>1</Pag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Standards crosswalk for worker-built apps</dc:title>
  <dc:subject>Which AI and security standards apply to worker-built apps, what each requires, its status as of October 2026, and where this framework covers it.</dc:subject>
  <dc:creator>Prompt to Prototype</dc:creator>
  <cp:keywords/>
  <dc:description>https://prompt-to-prototype.com/governance/standards/ Licensed CC BY-SA 4.0.</dc:description>
  <cp:lastModifiedBy/>
  <dcterms:created xsi:type="dcterms:W3CDTF">2026-10-22T00:00:00Z</dcterms:created>
  <dcterms:modified xsi:type="dcterms:W3CDTF">2026-10-22T00:00:00Z</dcterms:modified>
</cp:coreProperties>
</file>

<file path=docProps/custom.xml><?xml version="1.0" encoding="utf-8"?>
<Properties xmlns="http://schemas.openxmlformats.org/officeDocument/2006/custom-properties" xmlns:vt="http://schemas.openxmlformats.org/officeDocument/2006/docPropsVTypes"/>
</file>