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16" w:name="make-a-vibe-coded-app-production-ready"/>
    <w:p>
      <w:pPr>
        <w:pStyle w:val="Heading1"/>
      </w:pPr>
      <w:r>
        <w:rPr>
          <w:lang w:val="en"/>
        </w:rPr>
        <w:t xml:space="preserve">Make a vibe-coded app production ready</w:t>
      </w:r>
    </w:p>
    <w:p>
      <w:pPr>
        <w:pStyle w:val="FirstParagraph"/>
      </w:pPr>
      <w:hyperlink r:id="rId9">
        <w:r>
          <w:rPr>
            <w:rStyle w:val="Hyperlink"/>
            <w:lang w:val="en"/>
          </w:rPr>
          <w:t xml:space="preserve">https://prompt-to-prototype.com/lifecycle/production-ready/</w:t>
        </w:r>
      </w:hyperlink>
      <w:r>
        <w:rPr>
          <w:lang w:val="en"/>
        </w:rPr>
        <w:t xml:space="preserve"> </w:t>
      </w:r>
      <w:r>
        <w:rPr>
          <w:lang w:val="en"/>
        </w:rPr>
        <w:t xml:space="preserve">· as of 2026-10-22</w:t>
      </w:r>
    </w:p>
    <w:p>
      <w:pPr>
        <w:pStyle w:val="BodyText"/>
      </w:pPr>
      <w:r>
        <w:rPr>
          <w:lang w:val="en"/>
        </w:rPr>
        <w:t xml:space="preserve">A vibe-coded app is production ready when it has an accountable owner, company sign-in, tested data rules, recorded checks and a support path, with the depth set by its</w:t>
      </w:r>
      <w:r>
        <w:rPr>
          <w:lang w:val="en"/>
        </w:rPr>
        <w:t xml:space="preserve"> </w:t>
      </w:r>
      <w:hyperlink r:id="rId10">
        <w:r>
          <w:rPr>
            <w:rStyle w:val="Hyperlink"/>
            <w:lang w:val="en"/>
          </w:rPr>
          <w:t xml:space="preserve">risk tier</w:t>
        </w:r>
      </w:hyperlink>
      <w:r>
        <w:rPr>
          <w:lang w:val="en"/>
        </w:rPr>
        <w:t xml:space="preserve">. Before other people rely on it, it's registered with a named owner, runs on approved hosting with company sign-in, keeps no keys, passwords or tokens in code, front end or prompts (secrets are held server-side, in a secrets manager or the platform's server-only secret store), and has a recorded</w:t>
      </w:r>
      <w:r>
        <w:rPr>
          <w:lang w:val="en"/>
        </w:rPr>
        <w:t xml:space="preserve"> </w:t>
      </w:r>
      <w:hyperlink r:id="rId11">
        <w:r>
          <w:rPr>
            <w:rStyle w:val="Hyperlink"/>
            <w:lang w:val="en"/>
          </w:rPr>
          <w:t xml:space="preserve">V.E.R.I.F.Y. self-check</w:t>
        </w:r>
      </w:hyperlink>
      <w:r>
        <w:rPr>
          <w:lang w:val="en"/>
        </w:rPr>
        <w:t xml:space="preserve">, a one-page app record and a support path. From Important up it also needs data-owner sign-off for Confidential or Restricted data, negative access tests, a technical check, a runbook and a named backup; the checklist below, as of October 2026, marks each line as a gate or good practice.</w:t>
      </w:r>
    </w:p>
    <w:p>
      <w:pPr>
        <w:pStyle w:val="BodyText"/>
      </w:pPr>
      <w:r>
        <w:rPr>
          <w:b/>
          <w:bCs/>
          <w:lang w:val="en"/>
        </w:rPr>
        <w:t xml:space="preserve">Who this is for</w:t>
      </w:r>
    </w:p>
    <w:p>
      <w:pPr>
        <w:pStyle w:val="BodyText"/>
      </w:pPr>
      <w:r>
        <w:rPr>
          <w:lang w:val="en"/>
        </w:rPr>
        <w:t xml:space="preserve">Builders and app owners preparing to go live, and the reviewers who sign off. You get one checklist with a tier column and a "Who checks" column, a downloadable copy, the accessibility duties, and what to do when your builder can't do something. Reading time: about 10 minutes.</w:t>
      </w:r>
    </w:p>
    <w:p>
      <w:pPr>
        <w:pStyle w:val="BodyText"/>
      </w:pPr>
      <w:r>
        <w:rPr>
          <w:b/>
          <w:bCs/>
          <w:lang w:val="en"/>
        </w:rPr>
        <w:t xml:space="preserve">Not legal advice</w:t>
      </w:r>
    </w:p>
    <w:p>
      <w:pPr>
        <w:pStyle w:val="BodyText"/>
      </w:pPr>
      <w:r>
        <w:rPr>
          <w:lang w:val="en"/>
        </w:rPr>
        <w:t xml:space="preserve">Not legal advice. This page summarizes laws as of October 2026 for a general audience. It was written with an AI legal-research persona and hasn't been reviewed by a lawyer for your situation. Ask your counsel.</w:t>
      </w:r>
    </w:p>
    <w:p>
      <w:pPr>
        <w:pStyle w:val="BodyText"/>
      </w:pPr>
      <w:r>
        <w:rPr>
          <w:lang w:val="en"/>
        </w:rPr>
        <w:t xml:space="preserve">Jump to:</w:t>
      </w:r>
      <w:r>
        <w:rPr>
          <w:lang w:val="en"/>
        </w:rPr>
        <w:t xml:space="preserve"> </w:t>
      </w:r>
      <w:hyperlink w:anchor="go-live-checklist">
        <w:r>
          <w:rPr>
            <w:rStyle w:val="Hyperlink"/>
            <w:lang w:val="en"/>
          </w:rPr>
          <w:t xml:space="preserve">the checklist</w:t>
        </w:r>
      </w:hyperlink>
      <w:r>
        <w:rPr>
          <w:lang w:val="en"/>
        </w:rPr>
        <w:t xml:space="preserve"> </w:t>
      </w:r>
      <w:r>
        <w:rPr>
          <w:lang w:val="en"/>
        </w:rPr>
        <w:t xml:space="preserve">·</w:t>
      </w:r>
      <w:r>
        <w:rPr>
          <w:lang w:val="en"/>
        </w:rPr>
        <w:t xml:space="preserve"> </w:t>
      </w:r>
      <w:hyperlink w:anchor="common-blockers-and-fixes">
        <w:r>
          <w:rPr>
            <w:rStyle w:val="Hyperlink"/>
            <w:lang w:val="en"/>
          </w:rPr>
          <w:t xml:space="preserve">common blockers</w:t>
        </w:r>
      </w:hyperlink>
      <w:r>
        <w:rPr>
          <w:lang w:val="en"/>
        </w:rPr>
        <w:t xml:space="preserve"> </w:t>
      </w:r>
      <w:r>
        <w:rPr>
          <w:lang w:val="en"/>
        </w:rPr>
        <w:t xml:space="preserve">·</w:t>
      </w:r>
      <w:r>
        <w:rPr>
          <w:lang w:val="en"/>
        </w:rPr>
        <w:t xml:space="preserve"> </w:t>
      </w:r>
      <w:hyperlink w:anchor="if-your-app-builder-cant-do-this">
        <w:r>
          <w:rPr>
            <w:rStyle w:val="Hyperlink"/>
            <w:lang w:val="en"/>
          </w:rPr>
          <w:t xml:space="preserve">if your builder can't do this</w:t>
        </w:r>
      </w:hyperlink>
      <w:r>
        <w:rPr>
          <w:lang w:val="en"/>
        </w:rPr>
        <w:t xml:space="preserve"> </w:t>
      </w:r>
      <w:r>
        <w:rPr>
          <w:lang w:val="en"/>
        </w:rPr>
        <w:t xml:space="preserve">·</w:t>
      </w:r>
      <w:r>
        <w:rPr>
          <w:lang w:val="en"/>
        </w:rPr>
        <w:t xml:space="preserve"> </w:t>
      </w:r>
      <w:hyperlink w:anchor="accessibility">
        <w:r>
          <w:rPr>
            <w:rStyle w:val="Hyperlink"/>
            <w:lang w:val="en"/>
          </w:rPr>
          <w:t xml:space="preserve">accessibility</w:t>
        </w:r>
      </w:hyperlink>
      <w:r>
        <w:rPr>
          <w:lang w:val="en"/>
        </w:rPr>
        <w:t xml:space="preserve"> </w:t>
      </w:r>
      <w:r>
        <w:rPr>
          <w:lang w:val="en"/>
        </w:rPr>
        <w:t xml:space="preserve">·</w:t>
      </w:r>
      <w:r>
        <w:rPr>
          <w:lang w:val="en"/>
        </w:rPr>
        <w:t xml:space="preserve"> </w:t>
      </w:r>
      <w:hyperlink w:anchor="go-live-sign-off">
        <w:r>
          <w:rPr>
            <w:rStyle w:val="Hyperlink"/>
            <w:lang w:val="en"/>
          </w:rPr>
          <w:t xml:space="preserve">sign-off</w:t>
        </w:r>
      </w:hyperlink>
    </w:p>
    <w:bookmarkStart w:id="57" w:name="go-live-checklist"/>
    <w:p>
      <w:pPr>
        <w:pStyle w:val="Heading2"/>
      </w:pPr>
      <w:r>
        <w:rPr>
          <w:lang w:val="en"/>
        </w:rPr>
        <w:t xml:space="preserve">What does a vibe-coded app need before go-live?</w:t>
      </w:r>
    </w:p>
    <w:p>
      <w:pPr>
        <w:pStyle w:val="FirstParagraph"/>
      </w:pPr>
      <w:r>
        <w:rPr>
          <w:lang w:val="en"/>
        </w:rPr>
        <w:t xml:space="preserve">This is the go-live list the</w:t>
      </w:r>
      <w:r>
        <w:rPr>
          <w:lang w:val="en"/>
        </w:rPr>
        <w:t xml:space="preserve"> </w:t>
      </w:r>
      <w:hyperlink r:id="rId12">
        <w:r>
          <w:rPr>
            <w:rStyle w:val="Hyperlink"/>
            <w:lang w:val="en"/>
          </w:rPr>
          <w:t xml:space="preserve">deploy gate</w:t>
        </w:r>
      </w:hyperlink>
      <w:r>
        <w:rPr>
          <w:lang w:val="en"/>
        </w:rPr>
        <w:t xml:space="preserve"> </w:t>
      </w:r>
      <w:r>
        <w:rPr>
          <w:lang w:val="en"/>
        </w:rPr>
        <w:t xml:space="preserve">points to. Download it as</w:t>
      </w:r>
      <w:r>
        <w:rPr>
          <w:lang w:val="en"/>
        </w:rPr>
        <w:t xml:space="preserve"> </w:t>
      </w:r>
      <w:hyperlink r:id="rId13">
        <w:r>
          <w:rPr>
            <w:rStyle w:val="Hyperlink"/>
            <w:lang w:val="en"/>
          </w:rPr>
          <w:t xml:space="preserve">go-live-checklist.csv</w:t>
        </w:r>
      </w:hyperlink>
      <w:r>
        <w:rPr>
          <w:lang w:val="en"/>
        </w:rPr>
        <w:t xml:space="preserve"> </w:t>
      </w:r>
      <w:r>
        <w:rPr>
          <w:lang w:val="en"/>
        </w:rPr>
        <w:t xml:space="preserve">(Prompt to Prototype, Make a vibe-coded app production ready,</w:t>
      </w:r>
      <w:r>
        <w:rPr>
          <w:lang w:val="en"/>
        </w:rPr>
        <w:t xml:space="preserve"> </w:t>
      </w:r>
      <w:hyperlink r:id="rId9">
        <w:r>
          <w:rPr>
            <w:rStyle w:val="Hyperlink"/>
            <w:lang w:val="en"/>
          </w:rPr>
          <w:t xml:space="preserve">https://prompt-to-prototype.com/lifecycle/production-ready/</w:t>
        </w:r>
      </w:hyperlink>
      <w:r>
        <w:rPr>
          <w:lang w:val="en"/>
        </w:rPr>
        <w:t xml:space="preserve">, as of 2026-10-21. Licensed CC BY-SA 4.0). For how to check each security line, use the</w:t>
      </w:r>
      <w:r>
        <w:rPr>
          <w:lang w:val="en"/>
        </w:rPr>
        <w:t xml:space="preserve"> </w:t>
      </w:r>
      <w:hyperlink r:id="rId14">
        <w:r>
          <w:rPr>
            <w:rStyle w:val="Hyperlink"/>
            <w:lang w:val="en"/>
          </w:rPr>
          <w:t xml:space="preserve">vibe coding security checklist (CSV)</w:t>
        </w:r>
      </w:hyperlink>
      <w:r>
        <w:rPr>
          <w:lang w:val="en"/>
        </w:rPr>
        <w:t xml:space="preserve">. Using or adapting either file inside your business isn't distribution under the licence.</w:t>
      </w:r>
    </w:p>
    <w:p>
      <w:pPr>
        <w:pStyle w:val="Compact"/>
        <w:numPr>
          <w:ilvl w:val="0"/>
          <w:numId w:val="1001"/>
        </w:numPr>
      </w:pPr>
      <w:r>
        <w:rPr>
          <w:b/>
          <w:bCs/>
          <w:lang w:val="en"/>
        </w:rPr>
        <w:t xml:space="preserve">Kind.</w:t>
      </w:r>
      <w:r>
        <w:rPr>
          <w:lang w:val="en"/>
        </w:rPr>
        <w:t xml:space="preserve"> </w:t>
      </w:r>
      <w:r>
        <w:rPr>
          <w:lang w:val="en"/>
        </w:rPr>
        <w:t xml:space="preserve">A</w:t>
      </w:r>
      <w:r>
        <w:rPr>
          <w:lang w:val="en"/>
        </w:rPr>
        <w:t xml:space="preserve"> </w:t>
      </w:r>
      <w:r>
        <w:rPr>
          <w:b/>
          <w:bCs/>
          <w:lang w:val="en"/>
        </w:rPr>
        <w:t xml:space="preserve">Gate</w:t>
      </w:r>
      <w:r>
        <w:rPr>
          <w:lang w:val="en"/>
        </w:rPr>
        <w:t xml:space="preserve"> </w:t>
      </w:r>
      <w:r>
        <w:rPr>
          <w:lang w:val="en"/>
        </w:rPr>
        <w:t xml:space="preserve">line is one cell of the</w:t>
      </w:r>
      <w:r>
        <w:rPr>
          <w:lang w:val="en"/>
        </w:rPr>
        <w:t xml:space="preserve"> </w:t>
      </w:r>
      <w:hyperlink r:id="rId15">
        <w:r>
          <w:rPr>
            <w:rStyle w:val="Hyperlink"/>
            <w:lang w:val="en"/>
          </w:rPr>
          <w:t xml:space="preserve">gate matrix</w:t>
        </w:r>
      </w:hyperlink>
      <w:r>
        <w:rPr>
          <w:lang w:val="en"/>
        </w:rPr>
        <w:t xml:space="preserve">, named by stage and gate. If this list and the matrix differ, the matrix wins. A</w:t>
      </w:r>
      <w:r>
        <w:rPr>
          <w:lang w:val="en"/>
        </w:rPr>
        <w:t xml:space="preserve"> </w:t>
      </w:r>
      <w:r>
        <w:rPr>
          <w:i/>
          <w:iCs/>
          <w:lang w:val="en"/>
        </w:rPr>
        <w:t xml:space="preserve">Good practice</w:t>
      </w:r>
      <w:r>
        <w:rPr>
          <w:lang w:val="en"/>
        </w:rPr>
        <w:t xml:space="preserve"> </w:t>
      </w:r>
      <w:r>
        <w:rPr>
          <w:lang w:val="en"/>
        </w:rPr>
        <w:t xml:space="preserve">line can be skipped with a reason written in the app record; that needs no exception.</w:t>
      </w:r>
    </w:p>
    <w:p>
      <w:pPr>
        <w:pStyle w:val="Compact"/>
        <w:numPr>
          <w:ilvl w:val="0"/>
          <w:numId w:val="1001"/>
        </w:numPr>
      </w:pPr>
      <w:r>
        <w:rPr>
          <w:b/>
          <w:bCs/>
          <w:lang w:val="en"/>
        </w:rPr>
        <w:t xml:space="preserve">From.</w:t>
      </w:r>
      <w:r>
        <w:rPr>
          <w:lang w:val="en"/>
        </w:rPr>
        <w:t xml:space="preserve"> </w:t>
      </w:r>
      <w:r>
        <w:rPr>
          <w:lang w:val="en"/>
        </w:rPr>
        <w:t xml:space="preserve">The lowest tier the line applies to, and every tier above. "Every tier" includes Sandbox; "Team only" stops applying at Important.</w:t>
      </w:r>
    </w:p>
    <w:p>
      <w:pPr>
        <w:pStyle w:val="Compact"/>
        <w:numPr>
          <w:ilvl w:val="0"/>
          <w:numId w:val="1001"/>
        </w:numPr>
      </w:pPr>
      <w:r>
        <w:rPr>
          <w:b/>
          <w:bCs/>
          <w:lang w:val="en"/>
        </w:rPr>
        <w:t xml:space="preserve">Who checks.</w:t>
      </w:r>
      <w:r>
        <w:rPr>
          <w:lang w:val="en"/>
        </w:rPr>
        <w:t xml:space="preserve"> </w:t>
      </w:r>
      <w:r>
        <w:rPr>
          <w:lang w:val="en"/>
        </w:rPr>
        <w:t xml:space="preserve">The builder can't tick a line that names someone else, and never approves their own exception (</w:t>
      </w:r>
      <w:hyperlink r:id="rId16">
        <w:r>
          <w:rPr>
            <w:rStyle w:val="Hyperlink"/>
            <w:lang w:val="en"/>
          </w:rPr>
          <w:t xml:space="preserve">the roles</w:t>
        </w:r>
      </w:hyperlink>
      <w:r>
        <w:rPr>
          <w:lang w:val="en"/>
        </w:rPr>
        <w:t xml:space="preserve">).</w:t>
      </w:r>
    </w:p>
    <w:p>
      <w:pPr>
        <w:pStyle w:val="Compact"/>
        <w:numPr>
          <w:ilvl w:val="0"/>
          <w:numId w:val="1001"/>
        </w:numPr>
      </w:pPr>
      <w:r>
        <w:rPr>
          <w:b/>
          <w:bCs/>
          <w:lang w:val="en"/>
        </w:rPr>
        <w:t xml:space="preserve">No technical reviewer?</w:t>
      </w:r>
      <w:r>
        <w:rPr>
          <w:lang w:val="en"/>
        </w:rPr>
        <w:t xml:space="preserve"> </w:t>
      </w:r>
      <w:r>
        <w:rPr>
          <w:lang w:val="en"/>
        </w:rPr>
        <w:t xml:space="preserve">The app stays at Team scope until the technical check is done. Until your published list of technical reviewers exists, the IT/platform owner names them.</w:t>
      </w:r>
    </w:p>
    <w:bookmarkStart w:id="25" w:name="ownership"/>
    <w:p>
      <w:pPr>
        <w:pStyle w:val="Heading3"/>
      </w:pPr>
      <w:r>
        <w:rPr>
          <w:lang w:val="en"/>
        </w:rPr>
        <w:t xml:space="preserve">Ownership</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en"/>
              </w:rPr>
              <w:t xml:space="preserve">Done</w:t>
            </w:r>
          </w:p>
        </w:tc>
        <w:tc>
          <w:tcPr/>
          <w:p>
            <w:pPr>
              <w:pStyle w:val="Compact"/>
            </w:pPr>
            <w:r>
              <w:rPr>
                <w:lang w:val="en"/>
              </w:rPr>
              <w:t xml:space="preserve">Item</w:t>
            </w:r>
          </w:p>
        </w:tc>
        <w:tc>
          <w:tcPr/>
          <w:p>
            <w:pPr>
              <w:pStyle w:val="Compact"/>
            </w:pPr>
            <w:r>
              <w:rPr>
                <w:lang w:val="en"/>
              </w:rPr>
              <w:t xml:space="preserve">Kind</w:t>
            </w:r>
          </w:p>
        </w:tc>
        <w:tc>
          <w:tcPr/>
          <w:p>
            <w:pPr>
              <w:pStyle w:val="Compact"/>
            </w:pPr>
            <w:r>
              <w:rPr>
                <w:lang w:val="en"/>
              </w:rPr>
              <w:t xml:space="preserve">From</w:t>
            </w:r>
          </w:p>
        </w:tc>
        <w:tc>
          <w:tcPr/>
          <w:p>
            <w:pPr>
              <w:pStyle w:val="Compact"/>
            </w:pPr>
            <w:r>
              <w:rPr>
                <w:lang w:val="en"/>
              </w:rPr>
              <w:t xml:space="preserve">Who checks</w:t>
            </w:r>
          </w:p>
        </w:tc>
      </w:tr>
      <w:tr>
        <w:tc>
          <w:tcPr/>
          <w:p>
            <w:pPr>
              <w:pStyle w:val="Compact"/>
            </w:pPr>
            <w:r>
              <w:rPr>
                <w:lang w:val="en"/>
              </w:rPr>
              <w:t xml:space="preserve">☐</w:t>
            </w:r>
          </w:p>
        </w:tc>
        <w:tc>
          <w:tcPr/>
          <w:p>
            <w:pPr>
              <w:pStyle w:val="Compact"/>
            </w:pPr>
            <w:r>
              <w:rPr>
                <w:lang w:val="en"/>
              </w:rPr>
              <w:t xml:space="preserve">In the</w:t>
            </w:r>
            <w:r>
              <w:rPr>
                <w:lang w:val="en"/>
              </w:rPr>
              <w:t xml:space="preserve"> </w:t>
            </w:r>
            <w:hyperlink r:id="rId17">
              <w:r>
                <w:rPr>
                  <w:rStyle w:val="Hyperlink"/>
                  <w:lang w:val="en"/>
                </w:rPr>
                <w:t xml:space="preserve">app registry</w:t>
              </w:r>
            </w:hyperlink>
            <w:r>
              <w:rPr>
                <w:lang w:val="en"/>
              </w:rPr>
              <w:t xml:space="preserve">, with an app record naming the</w:t>
            </w:r>
            <w:r>
              <w:rPr>
                <w:lang w:val="en"/>
              </w:rPr>
              <w:t xml:space="preserve"> </w:t>
            </w:r>
            <w:hyperlink r:id="rId18">
              <w:r>
                <w:rPr>
                  <w:rStyle w:val="Hyperlink"/>
                  <w:lang w:val="en"/>
                </w:rPr>
                <w:t xml:space="preserve">app owner</w:t>
              </w:r>
            </w:hyperlink>
            <w:r>
              <w:rPr>
                <w:lang w:val="en"/>
              </w:rPr>
              <w:t xml:space="preserve">, tier and data class</w:t>
            </w:r>
          </w:p>
        </w:tc>
        <w:tc>
          <w:tcPr/>
          <w:p>
            <w:pPr>
              <w:pStyle w:val="Compact"/>
            </w:pPr>
            <w:r>
              <w:rPr>
                <w:lang w:val="en"/>
              </w:rPr>
              <w:t xml:space="preserve">Gate (Intake: Register)</w:t>
            </w:r>
          </w:p>
        </w:tc>
        <w:tc>
          <w:tcPr/>
          <w:p>
            <w:pPr>
              <w:pStyle w:val="Compact"/>
            </w:pPr>
            <w:r>
              <w:rPr>
                <w:lang w:val="en"/>
              </w:rPr>
              <w:t xml:space="preserve">Team</w:t>
            </w:r>
          </w:p>
        </w:tc>
        <w:tc>
          <w:tcPr/>
          <w:p>
            <w:pPr>
              <w:pStyle w:val="Compact"/>
            </w:pPr>
            <w:r>
              <w:rPr>
                <w:lang w:val="en"/>
              </w:rPr>
              <w:t xml:space="preserve">Builder; enablement lead at triage</w:t>
            </w:r>
          </w:p>
        </w:tc>
      </w:tr>
      <w:tr>
        <w:tc>
          <w:tcPr/>
          <w:p>
            <w:pPr>
              <w:pStyle w:val="Compact"/>
            </w:pPr>
            <w:r>
              <w:rPr>
                <w:lang w:val="en"/>
              </w:rPr>
              <w:t xml:space="preserve">☐</w:t>
            </w:r>
          </w:p>
        </w:tc>
        <w:tc>
          <w:tcPr/>
          <w:p>
            <w:pPr>
              <w:pStyle w:val="Compact"/>
            </w:pPr>
            <w:r>
              <w:rPr>
                <w:lang w:val="en"/>
              </w:rPr>
              <w:t xml:space="preserve">The</w:t>
            </w:r>
            <w:r>
              <w:rPr>
                <w:lang w:val="en"/>
              </w:rPr>
              <w:t xml:space="preserve"> </w:t>
            </w:r>
            <w:hyperlink r:id="rId19">
              <w:r>
                <w:rPr>
                  <w:rStyle w:val="Hyperlink"/>
                  <w:lang w:val="en"/>
                </w:rPr>
                <w:t xml:space="preserve">six tier questions</w:t>
              </w:r>
            </w:hyperlink>
            <w:r>
              <w:rPr>
                <w:lang w:val="en"/>
              </w:rPr>
              <w:t xml:space="preserve"> </w:t>
            </w:r>
            <w:r>
              <w:rPr>
                <w:lang w:val="en"/>
              </w:rPr>
              <w:t xml:space="preserve">and both flags answered and recorded</w:t>
            </w:r>
          </w:p>
        </w:tc>
        <w:tc>
          <w:tcPr/>
          <w:p>
            <w:pPr>
              <w:pStyle w:val="Compact"/>
            </w:pPr>
            <w:r>
              <w:rPr>
                <w:lang w:val="en"/>
              </w:rPr>
              <w:t xml:space="preserve">Gate (Intake: Answer the six questions and the flags)</w:t>
            </w:r>
          </w:p>
        </w:tc>
        <w:tc>
          <w:tcPr/>
          <w:p>
            <w:pPr>
              <w:pStyle w:val="Compact"/>
            </w:pPr>
            <w:r>
              <w:rPr>
                <w:lang w:val="en"/>
              </w:rPr>
              <w:t xml:space="preserve">Team</w:t>
            </w:r>
          </w:p>
        </w:tc>
        <w:tc>
          <w:tcPr/>
          <w:p>
            <w:pPr>
              <w:pStyle w:val="Compact"/>
            </w:pPr>
            <w:r>
              <w:rPr>
                <w:lang w:val="en"/>
              </w:rPr>
              <w:t xml:space="preserve">Builder; enablement lead at triage</w:t>
            </w:r>
          </w:p>
        </w:tc>
      </w:tr>
      <w:tr>
        <w:tc>
          <w:tcPr/>
          <w:p>
            <w:pPr>
              <w:pStyle w:val="Compact"/>
            </w:pPr>
            <w:r>
              <w:rPr>
                <w:lang w:val="en"/>
              </w:rPr>
              <w:t xml:space="preserve">☐</w:t>
            </w:r>
          </w:p>
        </w:tc>
        <w:tc>
          <w:tcPr/>
          <w:p>
            <w:pPr>
              <w:pStyle w:val="Compact"/>
            </w:pPr>
            <w:r>
              <w:rPr>
                <w:lang w:val="en"/>
              </w:rPr>
              <w:t xml:space="preserve">Kill criteria and a retire-by date set</w:t>
            </w:r>
          </w:p>
        </w:tc>
        <w:tc>
          <w:tcPr/>
          <w:p>
            <w:pPr>
              <w:pStyle w:val="Compact"/>
            </w:pPr>
            <w:r>
              <w:rPr>
                <w:lang w:val="en"/>
              </w:rPr>
              <w:t xml:space="preserve">Gate (Intake: Kill criteria and retire-by date)</w:t>
            </w:r>
          </w:p>
        </w:tc>
        <w:tc>
          <w:tcPr/>
          <w:p>
            <w:pPr>
              <w:pStyle w:val="Compact"/>
            </w:pPr>
            <w:r>
              <w:rPr>
                <w:lang w:val="en"/>
              </w:rPr>
              <w:t xml:space="preserve">Team</w:t>
            </w:r>
          </w:p>
        </w:tc>
        <w:tc>
          <w:tcPr/>
          <w:p>
            <w:pPr>
              <w:pStyle w:val="Compact"/>
            </w:pPr>
            <w:r>
              <w:rPr>
                <w:lang w:val="en"/>
              </w:rPr>
              <w:t xml:space="preserve">App owner</w:t>
            </w:r>
          </w:p>
        </w:tc>
      </w:tr>
      <w:tr>
        <w:tc>
          <w:tcPr/>
          <w:p>
            <w:pPr>
              <w:pStyle w:val="Compact"/>
            </w:pPr>
            <w:r>
              <w:rPr>
                <w:lang w:val="en"/>
              </w:rPr>
              <w:t xml:space="preserve">☐</w:t>
            </w:r>
          </w:p>
        </w:tc>
        <w:tc>
          <w:tcPr/>
          <w:p>
            <w:pPr>
              <w:pStyle w:val="Compact"/>
            </w:pPr>
            <w:r>
              <w:rPr>
                <w:lang w:val="en"/>
              </w:rPr>
              <w:t xml:space="preserve">Data-owner sign-off, if the app holds Confidential or Restricted data. No exception is possible</w:t>
            </w:r>
          </w:p>
        </w:tc>
        <w:tc>
          <w:tcPr/>
          <w:p>
            <w:pPr>
              <w:pStyle w:val="Compact"/>
            </w:pPr>
            <w:r>
              <w:rPr>
                <w:lang w:val="en"/>
              </w:rPr>
              <w:t xml:space="preserve">Gate (Intake: Register)</w:t>
            </w:r>
          </w:p>
        </w:tc>
        <w:tc>
          <w:tcPr/>
          <w:p>
            <w:pPr>
              <w:pStyle w:val="Compact"/>
            </w:pPr>
            <w:r>
              <w:rPr>
                <w:lang w:val="en"/>
              </w:rPr>
              <w:t xml:space="preserve">Important</w:t>
            </w:r>
          </w:p>
        </w:tc>
        <w:tc>
          <w:tcPr/>
          <w:p>
            <w:pPr>
              <w:pStyle w:val="Compact"/>
            </w:pPr>
            <w:r>
              <w:rPr>
                <w:lang w:val="en"/>
              </w:rPr>
              <w:t xml:space="preserve">Data owner</w:t>
            </w:r>
          </w:p>
        </w:tc>
      </w:tr>
      <w:tr>
        <w:tc>
          <w:tcPr/>
          <w:p>
            <w:pPr>
              <w:pStyle w:val="Compact"/>
            </w:pPr>
            <w:r>
              <w:rPr>
                <w:lang w:val="en"/>
              </w:rPr>
              <w:t xml:space="preserve">☐</w:t>
            </w:r>
          </w:p>
        </w:tc>
        <w:tc>
          <w:tcPr/>
          <w:p>
            <w:pPr>
              <w:pStyle w:val="Compact"/>
            </w:pPr>
            <w:r>
              <w:rPr>
                <w:lang w:val="en"/>
              </w:rPr>
              <w:t xml:space="preserve">Consent gate or</w:t>
            </w:r>
            <w:r>
              <w:rPr>
                <w:lang w:val="en"/>
              </w:rPr>
              <w:t xml:space="preserve"> </w:t>
            </w:r>
            <w:hyperlink r:id="rId20">
              <w:r>
                <w:rPr>
                  <w:rStyle w:val="Hyperlink"/>
                  <w:lang w:val="en"/>
                </w:rPr>
                <w:t xml:space="preserve">jurisdiction flag</w:t>
              </w:r>
            </w:hyperlink>
            <w:r>
              <w:rPr>
                <w:lang w:val="en"/>
              </w:rPr>
              <w:t xml:space="preserve"> </w:t>
            </w:r>
            <w:r>
              <w:rPr>
                <w:lang w:val="en"/>
              </w:rPr>
              <w:t xml:space="preserve">yes: counsel answered before collecting or building. No exception is possible</w:t>
            </w:r>
          </w:p>
        </w:tc>
        <w:tc>
          <w:tcPr/>
          <w:p>
            <w:pPr>
              <w:pStyle w:val="Compact"/>
            </w:pPr>
            <w:r>
              <w:rPr>
                <w:lang w:val="en"/>
              </w:rPr>
              <w:t xml:space="preserve">Gate (Intake: Counsel gates)</w:t>
            </w:r>
          </w:p>
        </w:tc>
        <w:tc>
          <w:tcPr/>
          <w:p>
            <w:pPr>
              <w:pStyle w:val="Compact"/>
            </w:pPr>
            <w:r>
              <w:rPr>
                <w:lang w:val="en"/>
              </w:rPr>
              <w:t xml:space="preserve">Team</w:t>
            </w:r>
          </w:p>
        </w:tc>
        <w:tc>
          <w:tcPr/>
          <w:p>
            <w:pPr>
              <w:pStyle w:val="Compact"/>
            </w:pPr>
            <w:r>
              <w:rPr>
                <w:lang w:val="en"/>
              </w:rPr>
              <w:t xml:space="preserve">Counsel, through</w:t>
            </w:r>
            <w:r>
              <w:rPr>
                <w:lang w:val="en"/>
              </w:rPr>
              <w:t xml:space="preserve"> </w:t>
            </w:r>
            <w:hyperlink r:id="rId21">
              <w:r>
                <w:rPr>
                  <w:rStyle w:val="Hyperlink"/>
                  <w:lang w:val="en"/>
                </w:rPr>
                <w:t xml:space="preserve">the counsel route</w:t>
              </w:r>
            </w:hyperlink>
          </w:p>
        </w:tc>
      </w:tr>
      <w:tr>
        <w:tc>
          <w:tcPr/>
          <w:p>
            <w:pPr>
              <w:pStyle w:val="Compact"/>
            </w:pPr>
            <w:r>
              <w:rPr>
                <w:lang w:val="en"/>
              </w:rPr>
              <w:t xml:space="preserve">☐</w:t>
            </w:r>
          </w:p>
        </w:tc>
        <w:tc>
          <w:tcPr/>
          <w:p>
            <w:pPr>
              <w:pStyle w:val="Compact"/>
            </w:pPr>
            <w:hyperlink r:id="rId22">
              <w:r>
                <w:rPr>
                  <w:rStyle w:val="Hyperlink"/>
                  <w:lang w:val="en"/>
                </w:rPr>
                <w:t xml:space="preserve">Audit-scope flag</w:t>
              </w:r>
            </w:hyperlink>
            <w:r>
              <w:rPr>
                <w:lang w:val="en"/>
              </w:rPr>
              <w:t xml:space="preserve"> </w:t>
            </w:r>
            <w:r>
              <w:rPr>
                <w:lang w:val="en"/>
              </w:rPr>
              <w:t xml:space="preserve">yes: the compliance owner's change-management and evidence requirements are set and met. They apply at Team exactly as at higher tiers; the flag sets no minimum tier</w:t>
            </w:r>
          </w:p>
        </w:tc>
        <w:tc>
          <w:tcPr/>
          <w:p>
            <w:pPr>
              <w:pStyle w:val="Compact"/>
            </w:pPr>
            <w:r>
              <w:rPr>
                <w:lang w:val="en"/>
              </w:rPr>
              <w:t xml:space="preserve">Gate (Intake: Audit-scope flag; Change: Audit scope)</w:t>
            </w:r>
          </w:p>
        </w:tc>
        <w:tc>
          <w:tcPr/>
          <w:p>
            <w:pPr>
              <w:pStyle w:val="Compact"/>
            </w:pPr>
            <w:r>
              <w:rPr>
                <w:lang w:val="en"/>
              </w:rPr>
              <w:t xml:space="preserve">Team</w:t>
            </w:r>
          </w:p>
        </w:tc>
        <w:tc>
          <w:tcPr/>
          <w:p>
            <w:pPr>
              <w:pStyle w:val="Compact"/>
            </w:pPr>
            <w:r>
              <w:rPr>
                <w:lang w:val="en"/>
              </w:rPr>
              <w:t xml:space="preserve">Compliance owner</w:t>
            </w:r>
          </w:p>
        </w:tc>
      </w:tr>
      <w:tr>
        <w:tc>
          <w:tcPr/>
          <w:p>
            <w:pPr>
              <w:pStyle w:val="Compact"/>
            </w:pPr>
            <w:r>
              <w:rPr>
                <w:lang w:val="en"/>
              </w:rPr>
              <w:t xml:space="preserve">☐</w:t>
            </w:r>
          </w:p>
        </w:tc>
        <w:tc>
          <w:tcPr/>
          <w:p>
            <w:pPr>
              <w:pStyle w:val="Compact"/>
            </w:pPr>
            <w:r>
              <w:rPr>
                <w:lang w:val="en"/>
              </w:rPr>
              <w:t xml:space="preserve">A graduation plan agreed, and IT or engineering recorded as co-owner</w:t>
            </w:r>
          </w:p>
        </w:tc>
        <w:tc>
          <w:tcPr/>
          <w:p>
            <w:pPr>
              <w:pStyle w:val="Compact"/>
            </w:pPr>
            <w:r>
              <w:rPr>
                <w:lang w:val="en"/>
              </w:rPr>
              <w:t xml:space="preserve">Gate (Intake: Register; Operate: Graduation)</w:t>
            </w:r>
          </w:p>
        </w:tc>
        <w:tc>
          <w:tcPr/>
          <w:p>
            <w:pPr>
              <w:pStyle w:val="Compact"/>
            </w:pPr>
            <w:r>
              <w:rPr>
                <w:lang w:val="en"/>
              </w:rPr>
              <w:t xml:space="preserve">Critical</w:t>
            </w:r>
          </w:p>
        </w:tc>
        <w:tc>
          <w:tcPr/>
          <w:p>
            <w:pPr>
              <w:pStyle w:val="Compact"/>
            </w:pPr>
            <w:r>
              <w:rPr>
                <w:lang w:val="en"/>
              </w:rPr>
              <w:t xml:space="preserve">IT/platform owner</w:t>
            </w:r>
          </w:p>
        </w:tc>
      </w:tr>
      <w:tr>
        <w:tc>
          <w:tcPr/>
          <w:p>
            <w:pPr>
              <w:pStyle w:val="Compact"/>
            </w:pPr>
            <w:r>
              <w:rPr>
                <w:lang w:val="en"/>
              </w:rPr>
              <w:t xml:space="preserve">☐</w:t>
            </w:r>
          </w:p>
        </w:tc>
        <w:tc>
          <w:tcPr/>
          <w:p>
            <w:pPr>
              <w:pStyle w:val="Compact"/>
            </w:pPr>
            <w:r>
              <w:rPr>
                <w:lang w:val="en"/>
              </w:rPr>
              <w:t xml:space="preserve">Next scheduled review date set, 12 months out</w:t>
            </w:r>
          </w:p>
        </w:tc>
        <w:tc>
          <w:tcPr/>
          <w:p>
            <w:pPr>
              <w:pStyle w:val="Compact"/>
            </w:pPr>
            <w:r>
              <w:rPr>
                <w:lang w:val="en"/>
              </w:rPr>
              <w:t xml:space="preserve">Gate (Operate: Scheduled review)</w:t>
            </w:r>
          </w:p>
        </w:tc>
        <w:tc>
          <w:tcPr/>
          <w:p>
            <w:pPr>
              <w:pStyle w:val="Compact"/>
            </w:pPr>
            <w:r>
              <w:rPr>
                <w:lang w:val="en"/>
              </w:rPr>
              <w:t xml:space="preserve">Team only</w:t>
            </w:r>
          </w:p>
        </w:tc>
        <w:tc>
          <w:tcPr/>
          <w:p>
            <w:pPr>
              <w:pStyle w:val="Compact"/>
            </w:pPr>
            <w:r>
              <w:rPr>
                <w:lang w:val="en"/>
              </w:rPr>
              <w:t xml:space="preserve">App owner</w:t>
            </w:r>
          </w:p>
        </w:tc>
      </w:tr>
      <w:tr>
        <w:tc>
          <w:tcPr/>
          <w:p>
            <w:pPr>
              <w:pStyle w:val="Compact"/>
            </w:pPr>
            <w:r>
              <w:rPr>
                <w:lang w:val="en"/>
              </w:rPr>
              <w:t xml:space="preserve">☐</w:t>
            </w:r>
          </w:p>
        </w:tc>
        <w:tc>
          <w:tcPr/>
          <w:p>
            <w:pPr>
              <w:pStyle w:val="Compact"/>
            </w:pPr>
            <w:r>
              <w:rPr>
                <w:lang w:val="en"/>
              </w:rPr>
              <w:t xml:space="preserve">Next scheduled review date set, 6 months out</w:t>
            </w:r>
          </w:p>
        </w:tc>
        <w:tc>
          <w:tcPr/>
          <w:p>
            <w:pPr>
              <w:pStyle w:val="Compact"/>
            </w:pPr>
            <w:r>
              <w:rPr>
                <w:lang w:val="en"/>
              </w:rPr>
              <w:t xml:space="preserve">Gate (Operate: Scheduled review)</w:t>
            </w:r>
          </w:p>
        </w:tc>
        <w:tc>
          <w:tcPr/>
          <w:p>
            <w:pPr>
              <w:pStyle w:val="Compact"/>
            </w:pPr>
            <w:r>
              <w:rPr>
                <w:lang w:val="en"/>
              </w:rPr>
              <w:t xml:space="preserve">Important</w:t>
            </w:r>
          </w:p>
        </w:tc>
        <w:tc>
          <w:tcPr/>
          <w:p>
            <w:pPr>
              <w:pStyle w:val="Compact"/>
            </w:pPr>
            <w:r>
              <w:rPr>
                <w:lang w:val="en"/>
              </w:rPr>
              <w:t xml:space="preserve">App owner</w:t>
            </w:r>
          </w:p>
        </w:tc>
      </w:tr>
      <w:tr>
        <w:tc>
          <w:tcPr/>
          <w:p>
            <w:pPr>
              <w:pStyle w:val="Compact"/>
            </w:pPr>
            <w:r>
              <w:rPr>
                <w:lang w:val="en"/>
              </w:rPr>
              <w:t xml:space="preserve">☐</w:t>
            </w:r>
          </w:p>
        </w:tc>
        <w:tc>
          <w:tcPr/>
          <w:p>
            <w:pPr>
              <w:pStyle w:val="Compact"/>
            </w:pPr>
            <w:r>
              <w:rPr>
                <w:lang w:val="en"/>
              </w:rPr>
              <w:t xml:space="preserve">A quarterly access review booked, as well as the 6-monthly review</w:t>
            </w:r>
          </w:p>
        </w:tc>
        <w:tc>
          <w:tcPr/>
          <w:p>
            <w:pPr>
              <w:pStyle w:val="Compact"/>
            </w:pPr>
            <w:r>
              <w:rPr>
                <w:lang w:val="en"/>
              </w:rPr>
              <w:t xml:space="preserve">Gate (Operate: Scheduled review)</w:t>
            </w:r>
          </w:p>
        </w:tc>
        <w:tc>
          <w:tcPr/>
          <w:p>
            <w:pPr>
              <w:pStyle w:val="Compact"/>
            </w:pPr>
            <w:r>
              <w:rPr>
                <w:lang w:val="en"/>
              </w:rPr>
              <w:t xml:space="preserve">Critical</w:t>
            </w:r>
          </w:p>
        </w:tc>
        <w:tc>
          <w:tcPr/>
          <w:p>
            <w:pPr>
              <w:pStyle w:val="Compact"/>
            </w:pPr>
            <w:r>
              <w:rPr>
                <w:lang w:val="en"/>
              </w:rPr>
              <w:t xml:space="preserve">App owner, with IT</w:t>
            </w:r>
          </w:p>
        </w:tc>
      </w:tr>
      <w:tr>
        <w:tc>
          <w:tcPr/>
          <w:p>
            <w:pPr>
              <w:pStyle w:val="Compact"/>
            </w:pPr>
            <w:r>
              <w:rPr>
                <w:lang w:val="en"/>
              </w:rPr>
              <w:t xml:space="preserve">☐</w:t>
            </w:r>
          </w:p>
        </w:tc>
        <w:tc>
          <w:tcPr/>
          <w:p>
            <w:pPr>
              <w:pStyle w:val="Compact"/>
            </w:pPr>
            <w:r>
              <w:rPr>
                <w:lang w:val="en"/>
              </w:rPr>
              <w:t xml:space="preserve">Any downgrade or</w:t>
            </w:r>
            <w:r>
              <w:rPr>
                <w:lang w:val="en"/>
              </w:rPr>
              <w:t xml:space="preserve"> </w:t>
            </w:r>
            <w:hyperlink r:id="rId23">
              <w:r>
                <w:rPr>
                  <w:rStyle w:val="Hyperlink"/>
                  <w:lang w:val="en"/>
                </w:rPr>
                <w:t xml:space="preserve">bounded exception</w:t>
              </w:r>
            </w:hyperlink>
            <w:r>
              <w:rPr>
                <w:lang w:val="en"/>
              </w:rPr>
              <w:t xml:space="preserve"> </w:t>
            </w:r>
            <w:r>
              <w:rPr>
                <w:lang w:val="en"/>
              </w:rPr>
              <w:t xml:space="preserve">in force is in the app record with its approver, reason and review or expiry date</w:t>
            </w:r>
          </w:p>
        </w:tc>
        <w:tc>
          <w:tcPr/>
          <w:p>
            <w:pPr>
              <w:pStyle w:val="Compact"/>
            </w:pPr>
            <w:r>
              <w:rPr>
                <w:lang w:val="en"/>
              </w:rPr>
              <w:t xml:space="preserve">Gate (Operate: Downgrade in force; Exception in force)</w:t>
            </w:r>
          </w:p>
        </w:tc>
        <w:tc>
          <w:tcPr/>
          <w:p>
            <w:pPr>
              <w:pStyle w:val="Compact"/>
            </w:pPr>
            <w:r>
              <w:rPr>
                <w:lang w:val="en"/>
              </w:rPr>
              <w:t xml:space="preserve">Team</w:t>
            </w:r>
          </w:p>
        </w:tc>
        <w:tc>
          <w:tcPr/>
          <w:p>
            <w:pPr>
              <w:pStyle w:val="Compact"/>
            </w:pPr>
            <w:r>
              <w:rPr>
                <w:lang w:val="en"/>
              </w:rPr>
              <w:t xml:space="preserve">Enablement lead (Critical: IT/platform owner and security reviewer)</w:t>
            </w:r>
          </w:p>
        </w:tc>
      </w:tr>
      <w:tr>
        <w:tc>
          <w:tcPr/>
          <w:p>
            <w:pPr>
              <w:pStyle w:val="Compact"/>
            </w:pPr>
            <w:r>
              <w:rPr>
                <w:lang w:val="en"/>
              </w:rPr>
              <w:t xml:space="preserve">☐</w:t>
            </w:r>
          </w:p>
        </w:tc>
        <w:tc>
          <w:tcPr/>
          <w:p>
            <w:pPr>
              <w:pStyle w:val="Compact"/>
            </w:pPr>
            <w:r>
              <w:rPr>
                <w:lang w:val="en"/>
              </w:rPr>
              <w:t xml:space="preserve">A plan for</w:t>
            </w:r>
            <w:r>
              <w:rPr>
                <w:lang w:val="en"/>
              </w:rPr>
              <w:t xml:space="preserve"> </w:t>
            </w:r>
            <w:hyperlink r:id="rId24">
              <w:r>
                <w:rPr>
                  <w:rStyle w:val="Hyperlink"/>
                  <w:lang w:val="en"/>
                </w:rPr>
                <w:t xml:space="preserve">when the builder leaves</w:t>
              </w:r>
            </w:hyperlink>
          </w:p>
        </w:tc>
        <w:tc>
          <w:tcPr/>
          <w:p>
            <w:pPr>
              <w:pStyle w:val="Compact"/>
            </w:pPr>
            <w:r>
              <w:rPr>
                <w:i/>
                <w:iCs/>
                <w:lang w:val="en"/>
              </w:rPr>
              <w:t xml:space="preserve">Good practice</w:t>
            </w:r>
          </w:p>
        </w:tc>
        <w:tc>
          <w:tcPr/>
          <w:p>
            <w:pPr>
              <w:pStyle w:val="Compact"/>
            </w:pPr>
            <w:r>
              <w:rPr>
                <w:lang w:val="en"/>
              </w:rPr>
              <w:t xml:space="preserve">Team</w:t>
            </w:r>
          </w:p>
        </w:tc>
        <w:tc>
          <w:tcPr/>
          <w:p>
            <w:pPr>
              <w:pStyle w:val="Compact"/>
            </w:pPr>
            <w:r>
              <w:rPr>
                <w:lang w:val="en"/>
              </w:rPr>
              <w:t xml:space="preserve">App owner</w:t>
            </w:r>
          </w:p>
        </w:tc>
      </w:tr>
    </w:tbl>
    <w:bookmarkEnd w:id="25"/>
    <w:bookmarkStart w:id="30" w:name="access"/>
    <w:p>
      <w:pPr>
        <w:pStyle w:val="Heading3"/>
      </w:pPr>
      <w:r>
        <w:rPr>
          <w:lang w:val="en"/>
        </w:rPr>
        <w:t xml:space="preserve">Access</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en"/>
              </w:rPr>
              <w:t xml:space="preserve">Done</w:t>
            </w:r>
          </w:p>
        </w:tc>
        <w:tc>
          <w:tcPr/>
          <w:p>
            <w:pPr>
              <w:pStyle w:val="Compact"/>
            </w:pPr>
            <w:r>
              <w:rPr>
                <w:lang w:val="en"/>
              </w:rPr>
              <w:t xml:space="preserve">Item</w:t>
            </w:r>
          </w:p>
        </w:tc>
        <w:tc>
          <w:tcPr/>
          <w:p>
            <w:pPr>
              <w:pStyle w:val="Compact"/>
            </w:pPr>
            <w:r>
              <w:rPr>
                <w:lang w:val="en"/>
              </w:rPr>
              <w:t xml:space="preserve">Kind</w:t>
            </w:r>
          </w:p>
        </w:tc>
        <w:tc>
          <w:tcPr/>
          <w:p>
            <w:pPr>
              <w:pStyle w:val="Compact"/>
            </w:pPr>
            <w:r>
              <w:rPr>
                <w:lang w:val="en"/>
              </w:rPr>
              <w:t xml:space="preserve">From</w:t>
            </w:r>
          </w:p>
        </w:tc>
        <w:tc>
          <w:tcPr/>
          <w:p>
            <w:pPr>
              <w:pStyle w:val="Compact"/>
            </w:pPr>
            <w:r>
              <w:rPr>
                <w:lang w:val="en"/>
              </w:rPr>
              <w:t xml:space="preserve">Who checks</w:t>
            </w:r>
          </w:p>
        </w:tc>
      </w:tr>
      <w:tr>
        <w:tc>
          <w:tcPr/>
          <w:p>
            <w:pPr>
              <w:pStyle w:val="Compact"/>
            </w:pPr>
            <w:r>
              <w:rPr>
                <w:lang w:val="en"/>
              </w:rPr>
              <w:t xml:space="preserve">☐</w:t>
            </w:r>
          </w:p>
        </w:tc>
        <w:tc>
          <w:tcPr/>
          <w:p>
            <w:pPr>
              <w:pStyle w:val="Compact"/>
            </w:pPr>
            <w:r>
              <w:rPr>
                <w:lang w:val="en"/>
              </w:rPr>
              <w:t xml:space="preserve">Built and hosted with approved tools on business accounts, never a personal account (never-do 3)</w:t>
            </w:r>
          </w:p>
        </w:tc>
        <w:tc>
          <w:tcPr/>
          <w:p>
            <w:pPr>
              <w:pStyle w:val="Compact"/>
            </w:pPr>
            <w:r>
              <w:rPr>
                <w:lang w:val="en"/>
              </w:rPr>
              <w:t xml:space="preserve">Gate (Build: Tools and accounts)</w:t>
            </w:r>
          </w:p>
        </w:tc>
        <w:tc>
          <w:tcPr/>
          <w:p>
            <w:pPr>
              <w:pStyle w:val="Compact"/>
            </w:pPr>
            <w:r>
              <w:rPr>
                <w:lang w:val="en"/>
              </w:rPr>
              <w:t xml:space="preserve">Every tier</w:t>
            </w:r>
          </w:p>
        </w:tc>
        <w:tc>
          <w:tcPr/>
          <w:p>
            <w:pPr>
              <w:pStyle w:val="Compact"/>
            </w:pPr>
            <w:r>
              <w:rPr>
                <w:lang w:val="en"/>
              </w:rPr>
              <w:t xml:space="preserve">Builder</w:t>
            </w:r>
          </w:p>
        </w:tc>
      </w:tr>
      <w:tr>
        <w:tc>
          <w:tcPr/>
          <w:p>
            <w:pPr>
              <w:pStyle w:val="Compact"/>
            </w:pPr>
            <w:r>
              <w:rPr>
                <w:lang w:val="en"/>
              </w:rPr>
              <w:t xml:space="preserve">☐</w:t>
            </w:r>
          </w:p>
        </w:tc>
        <w:tc>
          <w:tcPr/>
          <w:p>
            <w:pPr>
              <w:pStyle w:val="Compact"/>
            </w:pPr>
            <w:r>
              <w:rPr>
                <w:lang w:val="en"/>
              </w:rPr>
              <w:t xml:space="preserve">On an</w:t>
            </w:r>
            <w:r>
              <w:rPr>
                <w:lang w:val="en"/>
              </w:rPr>
              <w:t xml:space="preserve"> </w:t>
            </w:r>
            <w:hyperlink r:id="rId26">
              <w:r>
                <w:rPr>
                  <w:rStyle w:val="Hyperlink"/>
                  <w:lang w:val="en"/>
                </w:rPr>
                <w:t xml:space="preserve">approved hosting pattern</w:t>
              </w:r>
            </w:hyperlink>
            <w:r>
              <w:rPr>
                <w:lang w:val="en"/>
              </w:rPr>
              <w:t xml:space="preserve"> </w:t>
            </w:r>
            <w:r>
              <w:rPr>
                <w:lang w:val="en"/>
              </w:rPr>
              <w:t xml:space="preserve">with company sign-in (SSO); shared by group, not "anyone with the link" (</w:t>
            </w:r>
            <w:hyperlink r:id="rId27">
              <w:r>
                <w:rPr>
                  <w:rStyle w:val="Hyperlink"/>
                  <w:lang w:val="en"/>
                </w:rPr>
                <w:t xml:space="preserve">access</w:t>
              </w:r>
            </w:hyperlink>
            <w:r>
              <w:rPr>
                <w:lang w:val="en"/>
              </w:rPr>
              <w:t xml:space="preserve">)</w:t>
            </w:r>
          </w:p>
        </w:tc>
        <w:tc>
          <w:tcPr/>
          <w:p>
            <w:pPr>
              <w:pStyle w:val="Compact"/>
            </w:pPr>
            <w:r>
              <w:rPr>
                <w:lang w:val="en"/>
              </w:rPr>
              <w:t xml:space="preserve">Gate (Deploy: Hosting)</w:t>
            </w:r>
          </w:p>
        </w:tc>
        <w:tc>
          <w:tcPr/>
          <w:p>
            <w:pPr>
              <w:pStyle w:val="Compact"/>
            </w:pPr>
            <w:r>
              <w:rPr>
                <w:lang w:val="en"/>
              </w:rPr>
              <w:t xml:space="preserve">Team</w:t>
            </w:r>
          </w:p>
        </w:tc>
        <w:tc>
          <w:tcPr/>
          <w:p>
            <w:pPr>
              <w:pStyle w:val="Compact"/>
            </w:pPr>
            <w:r>
              <w:rPr>
                <w:lang w:val="en"/>
              </w:rPr>
              <w:t xml:space="preserve">Builder; technical reviewer from Important</w:t>
            </w:r>
          </w:p>
        </w:tc>
      </w:tr>
      <w:tr>
        <w:tc>
          <w:tcPr/>
          <w:p>
            <w:pPr>
              <w:pStyle w:val="Compact"/>
            </w:pPr>
            <w:r>
              <w:rPr>
                <w:lang w:val="en"/>
              </w:rPr>
              <w:t xml:space="preserve">☐</w:t>
            </w:r>
          </w:p>
        </w:tc>
        <w:tc>
          <w:tcPr/>
          <w:p>
            <w:pPr>
              <w:pStyle w:val="Compact"/>
            </w:pPr>
            <w:r>
              <w:rPr>
                <w:lang w:val="en"/>
              </w:rPr>
              <w:t xml:space="preserve">Not reachable from the internet without company sign-in (</w:t>
            </w:r>
            <w:hyperlink r:id="rId28">
              <w:r>
                <w:rPr>
                  <w:rStyle w:val="Hyperlink"/>
                  <w:lang w:val="en"/>
                </w:rPr>
                <w:t xml:space="preserve">Floor 2</w:t>
              </w:r>
            </w:hyperlink>
            <w:r>
              <w:rPr>
                <w:lang w:val="en"/>
              </w:rPr>
              <w:t xml:space="preserve">); a Team app that needs internet reach is re-tiered first</w:t>
            </w:r>
          </w:p>
        </w:tc>
        <w:tc>
          <w:tcPr/>
          <w:p>
            <w:pPr>
              <w:pStyle w:val="Compact"/>
            </w:pPr>
            <w:r>
              <w:rPr>
                <w:lang w:val="en"/>
              </w:rPr>
              <w:t xml:space="preserve">Gate (Deploy: Internet reach (Floor 2))</w:t>
            </w:r>
          </w:p>
        </w:tc>
        <w:tc>
          <w:tcPr/>
          <w:p>
            <w:pPr>
              <w:pStyle w:val="Compact"/>
            </w:pPr>
            <w:r>
              <w:rPr>
                <w:lang w:val="en"/>
              </w:rPr>
              <w:t xml:space="preserve">Team only</w:t>
            </w:r>
          </w:p>
        </w:tc>
        <w:tc>
          <w:tcPr/>
          <w:p>
            <w:pPr>
              <w:pStyle w:val="Compact"/>
            </w:pPr>
            <w:r>
              <w:rPr>
                <w:lang w:val="en"/>
              </w:rPr>
              <w:t xml:space="preserve">Builder, by the signed-out test; IT's scheduled exposure scan, where it covers Team apps</w:t>
            </w:r>
          </w:p>
        </w:tc>
      </w:tr>
      <w:tr>
        <w:tc>
          <w:tcPr/>
          <w:p>
            <w:pPr>
              <w:pStyle w:val="Compact"/>
            </w:pPr>
            <w:r>
              <w:rPr>
                <w:lang w:val="en"/>
              </w:rPr>
              <w:t xml:space="preserve">☐</w:t>
            </w:r>
          </w:p>
        </w:tc>
        <w:tc>
          <w:tcPr/>
          <w:p>
            <w:pPr>
              <w:pStyle w:val="Compact"/>
            </w:pPr>
            <w:r>
              <w:rPr>
                <w:lang w:val="en"/>
              </w:rPr>
              <w:t xml:space="preserve">Internet reach without company sign-in only on an approved public-facing pattern</w:t>
            </w:r>
          </w:p>
        </w:tc>
        <w:tc>
          <w:tcPr/>
          <w:p>
            <w:pPr>
              <w:pStyle w:val="Compact"/>
            </w:pPr>
            <w:r>
              <w:rPr>
                <w:lang w:val="en"/>
              </w:rPr>
              <w:t xml:space="preserve">Gate (Deploy: Internet reach (Floor 2))</w:t>
            </w:r>
          </w:p>
        </w:tc>
        <w:tc>
          <w:tcPr/>
          <w:p>
            <w:pPr>
              <w:pStyle w:val="Compact"/>
            </w:pPr>
            <w:r>
              <w:rPr>
                <w:lang w:val="en"/>
              </w:rPr>
              <w:t xml:space="preserve">Important</w:t>
            </w:r>
          </w:p>
        </w:tc>
        <w:tc>
          <w:tcPr/>
          <w:p>
            <w:pPr>
              <w:pStyle w:val="Compact"/>
            </w:pPr>
            <w:r>
              <w:rPr>
                <w:lang w:val="en"/>
              </w:rPr>
              <w:t xml:space="preserve">Technical reviewer</w:t>
            </w:r>
          </w:p>
        </w:tc>
      </w:tr>
      <w:tr>
        <w:tc>
          <w:tcPr/>
          <w:p>
            <w:pPr>
              <w:pStyle w:val="Compact"/>
            </w:pPr>
            <w:r>
              <w:rPr>
                <w:lang w:val="en"/>
              </w:rPr>
              <w:t xml:space="preserve">☐</w:t>
            </w:r>
          </w:p>
        </w:tc>
        <w:tc>
          <w:tcPr/>
          <w:p>
            <w:pPr>
              <w:pStyle w:val="Compact"/>
            </w:pPr>
            <w:r>
              <w:rPr>
                <w:lang w:val="en"/>
              </w:rPr>
              <w:t xml:space="preserve">No floor breach open; a Floor 2 fix is confirmed by a clean exposure scan (</w:t>
            </w:r>
            <w:hyperlink r:id="rId29">
              <w:r>
                <w:rPr>
                  <w:rStyle w:val="Hyperlink"/>
                  <w:lang w:val="en"/>
                </w:rPr>
                <w:t xml:space="preserve">floor-breach rule</w:t>
              </w:r>
            </w:hyperlink>
            <w:r>
              <w:rPr>
                <w:lang w:val="en"/>
              </w:rPr>
              <w:t xml:space="preserve">)</w:t>
            </w:r>
          </w:p>
        </w:tc>
        <w:tc>
          <w:tcPr/>
          <w:p>
            <w:pPr>
              <w:pStyle w:val="Compact"/>
            </w:pPr>
            <w:r>
              <w:rPr>
                <w:lang w:val="en"/>
              </w:rPr>
              <w:t xml:space="preserve">Gate (Operate: Floor breach)</w:t>
            </w:r>
          </w:p>
        </w:tc>
        <w:tc>
          <w:tcPr/>
          <w:p>
            <w:pPr>
              <w:pStyle w:val="Compact"/>
            </w:pPr>
            <w:r>
              <w:rPr>
                <w:lang w:val="en"/>
              </w:rPr>
              <w:t xml:space="preserve">Every tier</w:t>
            </w:r>
          </w:p>
        </w:tc>
        <w:tc>
          <w:tcPr/>
          <w:p>
            <w:pPr>
              <w:pStyle w:val="Compact"/>
            </w:pPr>
            <w:r>
              <w:rPr>
                <w:lang w:val="en"/>
              </w:rPr>
              <w:t xml:space="preserve">Technical reviewer or IT</w:t>
            </w:r>
          </w:p>
        </w:tc>
      </w:tr>
      <w:tr>
        <w:tc>
          <w:tcPr/>
          <w:p>
            <w:pPr>
              <w:pStyle w:val="Compact"/>
            </w:pPr>
            <w:r>
              <w:rPr>
                <w:lang w:val="en"/>
              </w:rPr>
              <w:t xml:space="preserve">☐</w:t>
            </w:r>
          </w:p>
        </w:tc>
        <w:tc>
          <w:tcPr/>
          <w:p>
            <w:pPr>
              <w:pStyle w:val="Compact"/>
            </w:pPr>
            <w:r>
              <w:rPr>
                <w:lang w:val="en"/>
              </w:rPr>
              <w:t xml:space="preserve">Runs on IT's standard platform</w:t>
            </w:r>
          </w:p>
        </w:tc>
        <w:tc>
          <w:tcPr/>
          <w:p>
            <w:pPr>
              <w:pStyle w:val="Compact"/>
            </w:pPr>
            <w:r>
              <w:rPr>
                <w:lang w:val="en"/>
              </w:rPr>
              <w:t xml:space="preserve">Gate (Build: Tools and accounts; Deploy: Hosting)</w:t>
            </w:r>
          </w:p>
        </w:tc>
        <w:tc>
          <w:tcPr/>
          <w:p>
            <w:pPr>
              <w:pStyle w:val="Compact"/>
            </w:pPr>
            <w:r>
              <w:rPr>
                <w:lang w:val="en"/>
              </w:rPr>
              <w:t xml:space="preserve">Critical</w:t>
            </w:r>
          </w:p>
        </w:tc>
        <w:tc>
          <w:tcPr/>
          <w:p>
            <w:pPr>
              <w:pStyle w:val="Compact"/>
            </w:pPr>
            <w:r>
              <w:rPr>
                <w:lang w:val="en"/>
              </w:rPr>
              <w:t xml:space="preserve">IT/platform owner</w:t>
            </w:r>
          </w:p>
        </w:tc>
      </w:tr>
    </w:tbl>
    <w:bookmarkEnd w:id="30"/>
    <w:bookmarkStart w:id="33" w:name="data"/>
    <w:p>
      <w:pPr>
        <w:pStyle w:val="Heading3"/>
      </w:pPr>
      <w:r>
        <w:rPr>
          <w:lang w:val="en"/>
        </w:rPr>
        <w:t xml:space="preserve">Data</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en"/>
              </w:rPr>
              <w:t xml:space="preserve">Done</w:t>
            </w:r>
          </w:p>
        </w:tc>
        <w:tc>
          <w:tcPr/>
          <w:p>
            <w:pPr>
              <w:pStyle w:val="Compact"/>
            </w:pPr>
            <w:r>
              <w:rPr>
                <w:lang w:val="en"/>
              </w:rPr>
              <w:t xml:space="preserve">Item</w:t>
            </w:r>
          </w:p>
        </w:tc>
        <w:tc>
          <w:tcPr/>
          <w:p>
            <w:pPr>
              <w:pStyle w:val="Compact"/>
            </w:pPr>
            <w:r>
              <w:rPr>
                <w:lang w:val="en"/>
              </w:rPr>
              <w:t xml:space="preserve">Kind</w:t>
            </w:r>
          </w:p>
        </w:tc>
        <w:tc>
          <w:tcPr/>
          <w:p>
            <w:pPr>
              <w:pStyle w:val="Compact"/>
            </w:pPr>
            <w:r>
              <w:rPr>
                <w:lang w:val="en"/>
              </w:rPr>
              <w:t xml:space="preserve">From</w:t>
            </w:r>
          </w:p>
        </w:tc>
        <w:tc>
          <w:tcPr/>
          <w:p>
            <w:pPr>
              <w:pStyle w:val="Compact"/>
            </w:pPr>
            <w:r>
              <w:rPr>
                <w:lang w:val="en"/>
              </w:rPr>
              <w:t xml:space="preserve">Who checks</w:t>
            </w:r>
          </w:p>
        </w:tc>
      </w:tr>
      <w:tr>
        <w:tc>
          <w:tcPr/>
          <w:p>
            <w:pPr>
              <w:pStyle w:val="Compact"/>
            </w:pPr>
            <w:r>
              <w:rPr>
                <w:lang w:val="en"/>
              </w:rPr>
              <w:t xml:space="preserve">☐</w:t>
            </w:r>
          </w:p>
        </w:tc>
        <w:tc>
          <w:tcPr/>
          <w:p>
            <w:pPr>
              <w:pStyle w:val="Compact"/>
            </w:pPr>
            <w:r>
              <w:rPr>
                <w:lang w:val="en"/>
              </w:rPr>
              <w:t xml:space="preserve">Data goes only to tools and AI services approved for its data class (never-do 1, the M1 approval gate). No exception is possible</w:t>
            </w:r>
          </w:p>
        </w:tc>
        <w:tc>
          <w:tcPr/>
          <w:p>
            <w:pPr>
              <w:pStyle w:val="Compact"/>
            </w:pPr>
            <w:r>
              <w:rPr>
                <w:lang w:val="en"/>
              </w:rPr>
              <w:t xml:space="preserve">Gate (Build: Floors and never-dos; Build: AI feature (M1))</w:t>
            </w:r>
          </w:p>
        </w:tc>
        <w:tc>
          <w:tcPr/>
          <w:p>
            <w:pPr>
              <w:pStyle w:val="Compact"/>
            </w:pPr>
            <w:r>
              <w:rPr>
                <w:lang w:val="en"/>
              </w:rPr>
              <w:t xml:space="preserve">Every tier</w:t>
            </w:r>
          </w:p>
        </w:tc>
        <w:tc>
          <w:tcPr/>
          <w:p>
            <w:pPr>
              <w:pStyle w:val="Compact"/>
            </w:pPr>
            <w:r>
              <w:rPr>
                <w:lang w:val="en"/>
              </w:rPr>
              <w:t xml:space="preserve">Builder</w:t>
            </w:r>
          </w:p>
        </w:tc>
      </w:tr>
      <w:tr>
        <w:tc>
          <w:tcPr/>
          <w:p>
            <w:pPr>
              <w:pStyle w:val="Compact"/>
            </w:pPr>
            <w:r>
              <w:rPr>
                <w:lang w:val="en"/>
              </w:rPr>
              <w:t xml:space="preserve">☐</w:t>
            </w:r>
          </w:p>
        </w:tc>
        <w:tc>
          <w:tcPr/>
          <w:p>
            <w:pPr>
              <w:pStyle w:val="Compact"/>
            </w:pPr>
            <w:r>
              <w:rPr>
                <w:lang w:val="en"/>
              </w:rPr>
              <w:t xml:space="preserve">Data rules deny by default on every table and storage bucket (</w:t>
            </w:r>
            <w:hyperlink r:id="rId31">
              <w:r>
                <w:rPr>
                  <w:rStyle w:val="Hyperlink"/>
                  <w:lang w:val="en"/>
                </w:rPr>
                <w:t xml:space="preserve">data rules</w:t>
              </w:r>
            </w:hyperlink>
            <w:r>
              <w:rPr>
                <w:lang w:val="en"/>
              </w:rPr>
              <w:t xml:space="preserve">)</w:t>
            </w:r>
          </w:p>
        </w:tc>
        <w:tc>
          <w:tcPr/>
          <w:p>
            <w:pPr>
              <w:pStyle w:val="Compact"/>
            </w:pPr>
            <w:r>
              <w:rPr>
                <w:lang w:val="en"/>
              </w:rPr>
              <w:t xml:space="preserve">Gate (Deploy: Hosting)</w:t>
            </w:r>
          </w:p>
        </w:tc>
        <w:tc>
          <w:tcPr/>
          <w:p>
            <w:pPr>
              <w:pStyle w:val="Compact"/>
            </w:pPr>
            <w:r>
              <w:rPr>
                <w:lang w:val="en"/>
              </w:rPr>
              <w:t xml:space="preserve">Important</w:t>
            </w:r>
          </w:p>
        </w:tc>
        <w:tc>
          <w:tcPr/>
          <w:p>
            <w:pPr>
              <w:pStyle w:val="Compact"/>
            </w:pPr>
            <w:r>
              <w:rPr>
                <w:lang w:val="en"/>
              </w:rPr>
              <w:t xml:space="preserve">Technical reviewer</w:t>
            </w:r>
          </w:p>
        </w:tc>
      </w:tr>
      <w:tr>
        <w:tc>
          <w:tcPr/>
          <w:p>
            <w:pPr>
              <w:pStyle w:val="Compact"/>
            </w:pPr>
            <w:r>
              <w:rPr>
                <w:lang w:val="en"/>
              </w:rPr>
              <w:t xml:space="preserve">☐</w:t>
            </w:r>
          </w:p>
        </w:tc>
        <w:tc>
          <w:tcPr/>
          <w:p>
            <w:pPr>
              <w:pStyle w:val="Compact"/>
            </w:pPr>
            <w:r>
              <w:rPr>
                <w:lang w:val="en"/>
              </w:rPr>
              <w:t xml:space="preserve">Negative access tests pass: a signed-out visitor and a lowest-role test account see nothing they shouldn't</w:t>
            </w:r>
          </w:p>
        </w:tc>
        <w:tc>
          <w:tcPr/>
          <w:p>
            <w:pPr>
              <w:pStyle w:val="Compact"/>
            </w:pPr>
            <w:r>
              <w:rPr>
                <w:lang w:val="en"/>
              </w:rPr>
              <w:t xml:space="preserve">Gate (Verify: Tests)</w:t>
            </w:r>
          </w:p>
        </w:tc>
        <w:tc>
          <w:tcPr/>
          <w:p>
            <w:pPr>
              <w:pStyle w:val="Compact"/>
            </w:pPr>
            <w:r>
              <w:rPr>
                <w:lang w:val="en"/>
              </w:rPr>
              <w:t xml:space="preserve">Important</w:t>
            </w:r>
          </w:p>
        </w:tc>
        <w:tc>
          <w:tcPr/>
          <w:p>
            <w:pPr>
              <w:pStyle w:val="Compact"/>
            </w:pPr>
            <w:r>
              <w:rPr>
                <w:lang w:val="en"/>
              </w:rPr>
              <w:t xml:space="preserve">Technical reviewer</w:t>
            </w:r>
          </w:p>
        </w:tc>
      </w:tr>
      <w:tr>
        <w:tc>
          <w:tcPr/>
          <w:p>
            <w:pPr>
              <w:pStyle w:val="Compact"/>
            </w:pPr>
            <w:r>
              <w:rPr>
                <w:lang w:val="en"/>
              </w:rPr>
              <w:t xml:space="preserve">☐</w:t>
            </w:r>
          </w:p>
        </w:tc>
        <w:tc>
          <w:tcPr/>
          <w:p>
            <w:pPr>
              <w:pStyle w:val="Compact"/>
            </w:pPr>
            <w:r>
              <w:rPr>
                <w:lang w:val="en"/>
              </w:rPr>
              <w:t xml:space="preserve">The signed-out and second-account tests in</w:t>
            </w:r>
            <w:r>
              <w:rPr>
                <w:lang w:val="en"/>
              </w:rPr>
              <w:t xml:space="preserve"> </w:t>
            </w:r>
            <w:hyperlink r:id="rId32">
              <w:r>
                <w:rPr>
                  <w:rStyle w:val="Hyperlink"/>
                  <w:lang w:val="en"/>
                </w:rPr>
                <w:t xml:space="preserve">how to test your app</w:t>
              </w:r>
            </w:hyperlink>
            <w:r>
              <w:rPr>
                <w:lang w:val="en"/>
              </w:rPr>
              <w:t xml:space="preserve"> </w:t>
            </w:r>
            <w:r>
              <w:rPr>
                <w:lang w:val="en"/>
              </w:rPr>
              <w:t xml:space="preserve">pass</w:t>
            </w:r>
          </w:p>
        </w:tc>
        <w:tc>
          <w:tcPr/>
          <w:p>
            <w:pPr>
              <w:pStyle w:val="Compact"/>
            </w:pPr>
            <w:r>
              <w:rPr>
                <w:i/>
                <w:iCs/>
                <w:lang w:val="en"/>
              </w:rPr>
              <w:t xml:space="preserve">Good practice</w:t>
            </w:r>
          </w:p>
        </w:tc>
        <w:tc>
          <w:tcPr/>
          <w:p>
            <w:pPr>
              <w:pStyle w:val="Compact"/>
            </w:pPr>
            <w:r>
              <w:rPr>
                <w:lang w:val="en"/>
              </w:rPr>
              <w:t xml:space="preserve">Team</w:t>
            </w:r>
          </w:p>
        </w:tc>
        <w:tc>
          <w:tcPr/>
          <w:p>
            <w:pPr>
              <w:pStyle w:val="Compact"/>
            </w:pPr>
            <w:r>
              <w:rPr>
                <w:lang w:val="en"/>
              </w:rPr>
              <w:t xml:space="preserve">Builder</w:t>
            </w:r>
          </w:p>
        </w:tc>
      </w:tr>
    </w:tbl>
    <w:bookmarkEnd w:id="33"/>
    <w:bookmarkStart w:id="42" w:name="security"/>
    <w:p>
      <w:pPr>
        <w:pStyle w:val="Heading3"/>
      </w:pPr>
      <w:r>
        <w:rPr>
          <w:lang w:val="en"/>
        </w:rPr>
        <w:t xml:space="preserve">Security</w:t>
      </w:r>
    </w:p>
    <w:p>
      <w:pPr>
        <w:pStyle w:val="FirstParagraph"/>
      </w:pPr>
      <w:r>
        <w:rPr>
          <w:lang w:val="en"/>
        </w:rPr>
        <w:t xml:space="preserve">Most of these lines are enforced for you by the</w:t>
      </w:r>
      <w:r>
        <w:rPr>
          <w:lang w:val="en"/>
        </w:rPr>
        <w:t xml:space="preserve"> </w:t>
      </w:r>
      <w:hyperlink r:id="rId34">
        <w:r>
          <w:rPr>
            <w:rStyle w:val="Hyperlink"/>
            <w:lang w:val="en"/>
          </w:rPr>
          <w:t xml:space="preserve">deployment guardrails</w:t>
        </w:r>
      </w:hyperlink>
      <w:r>
        <w:rPr>
          <w:lang w:val="en"/>
        </w:rPr>
        <w:t xml:space="preserve">; each links to its checks. Don't assume the vendor secured it: builder vendors have called exposed data "by design" and told customers the configuration was theirs to fix (AP3).</w:t>
      </w:r>
      <w:hyperlink w:anchor="fn:upguard">
        <w:r>
          <w:rPr>
            <w:rStyle w:val="Hyperlink"/>
            <w:vertAlign w:val="superscript"/>
            <w:lang w:val="en"/>
          </w:rPr>
          <w:t xml:space="preserve">1</w:t>
        </w:r>
      </w:hyperlink>
      <w:hyperlink w:anchor="fn:cve">
        <w:r>
          <w:rPr>
            <w:rStyle w:val="Hyperlink"/>
            <w:vertAlign w:val="superscript"/>
            <w:lang w:val="en"/>
          </w:rPr>
          <w:t xml:space="preserve">2</w:t>
        </w:r>
      </w:hyperlink>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en"/>
              </w:rPr>
              <w:t xml:space="preserve">Done</w:t>
            </w:r>
          </w:p>
        </w:tc>
        <w:tc>
          <w:tcPr/>
          <w:p>
            <w:pPr>
              <w:pStyle w:val="Compact"/>
            </w:pPr>
            <w:r>
              <w:rPr>
                <w:lang w:val="en"/>
              </w:rPr>
              <w:t xml:space="preserve">Item</w:t>
            </w:r>
          </w:p>
        </w:tc>
        <w:tc>
          <w:tcPr/>
          <w:p>
            <w:pPr>
              <w:pStyle w:val="Compact"/>
            </w:pPr>
            <w:r>
              <w:rPr>
                <w:lang w:val="en"/>
              </w:rPr>
              <w:t xml:space="preserve">Kind</w:t>
            </w:r>
          </w:p>
        </w:tc>
        <w:tc>
          <w:tcPr/>
          <w:p>
            <w:pPr>
              <w:pStyle w:val="Compact"/>
            </w:pPr>
            <w:r>
              <w:rPr>
                <w:lang w:val="en"/>
              </w:rPr>
              <w:t xml:space="preserve">From</w:t>
            </w:r>
          </w:p>
        </w:tc>
        <w:tc>
          <w:tcPr/>
          <w:p>
            <w:pPr>
              <w:pStyle w:val="Compact"/>
            </w:pPr>
            <w:r>
              <w:rPr>
                <w:lang w:val="en"/>
              </w:rPr>
              <w:t xml:space="preserve">Who checks</w:t>
            </w:r>
          </w:p>
        </w:tc>
      </w:tr>
      <w:tr>
        <w:tc>
          <w:tcPr/>
          <w:p>
            <w:pPr>
              <w:pStyle w:val="Compact"/>
            </w:pPr>
            <w:r>
              <w:rPr>
                <w:lang w:val="en"/>
              </w:rPr>
              <w:t xml:space="preserve">☐</w:t>
            </w:r>
          </w:p>
        </w:tc>
        <w:tc>
          <w:tcPr/>
          <w:p>
            <w:pPr>
              <w:pStyle w:val="Compact"/>
            </w:pPr>
            <w:r>
              <w:rPr>
                <w:lang w:val="en"/>
              </w:rPr>
              <w:t xml:space="preserve">No keys, passwords or tokens in code, front end or prompts; secrets are held server-side, in a secrets manager or the platform's server-only secret store (never-do 2;</w:t>
            </w:r>
            <w:r>
              <w:rPr>
                <w:lang w:val="en"/>
              </w:rPr>
              <w:t xml:space="preserve"> </w:t>
            </w:r>
            <w:hyperlink r:id="rId35">
              <w:r>
                <w:rPr>
                  <w:rStyle w:val="Hyperlink"/>
                  <w:lang w:val="en"/>
                </w:rPr>
                <w:t xml:space="preserve">where API keys and secrets leak</w:t>
              </w:r>
            </w:hyperlink>
            <w:r>
              <w:rPr>
                <w:lang w:val="en"/>
              </w:rPr>
              <w:t xml:space="preserve">)</w:t>
            </w:r>
          </w:p>
        </w:tc>
        <w:tc>
          <w:tcPr/>
          <w:p>
            <w:pPr>
              <w:pStyle w:val="Compact"/>
            </w:pPr>
            <w:r>
              <w:rPr>
                <w:lang w:val="en"/>
              </w:rPr>
              <w:t xml:space="preserve">Gate (Build: Floors and never-dos)</w:t>
            </w:r>
          </w:p>
        </w:tc>
        <w:tc>
          <w:tcPr/>
          <w:p>
            <w:pPr>
              <w:pStyle w:val="Compact"/>
            </w:pPr>
            <w:r>
              <w:rPr>
                <w:lang w:val="en"/>
              </w:rPr>
              <w:t xml:space="preserve">Every tier</w:t>
            </w:r>
          </w:p>
        </w:tc>
        <w:tc>
          <w:tcPr/>
          <w:p>
            <w:pPr>
              <w:pStyle w:val="Compact"/>
            </w:pPr>
            <w:r>
              <w:rPr>
                <w:lang w:val="en"/>
              </w:rPr>
              <w:t xml:space="preserve">Builder; technical reviewer from Important</w:t>
            </w:r>
          </w:p>
        </w:tc>
      </w:tr>
      <w:tr>
        <w:tc>
          <w:tcPr/>
          <w:p>
            <w:pPr>
              <w:pStyle w:val="Compact"/>
            </w:pPr>
            <w:r>
              <w:rPr>
                <w:lang w:val="en"/>
              </w:rPr>
              <w:t xml:space="preserve">☐</w:t>
            </w:r>
          </w:p>
        </w:tc>
        <w:tc>
          <w:tcPr/>
          <w:p>
            <w:pPr>
              <w:pStyle w:val="Compact"/>
            </w:pPr>
            <w:r>
              <w:rPr>
                <w:lang w:val="en"/>
              </w:rPr>
              <w:t xml:space="preserve">No agent or AI feature combines private data, untrusted content and a way to send data out (Floor 1, the trifecta rule)</w:t>
            </w:r>
          </w:p>
        </w:tc>
        <w:tc>
          <w:tcPr/>
          <w:p>
            <w:pPr>
              <w:pStyle w:val="Compact"/>
            </w:pPr>
            <w:r>
              <w:rPr>
                <w:lang w:val="en"/>
              </w:rPr>
              <w:t xml:space="preserve">Gate (Build: Floors and never-dos)</w:t>
            </w:r>
          </w:p>
        </w:tc>
        <w:tc>
          <w:tcPr/>
          <w:p>
            <w:pPr>
              <w:pStyle w:val="Compact"/>
            </w:pPr>
            <w:r>
              <w:rPr>
                <w:lang w:val="en"/>
              </w:rPr>
              <w:t xml:space="preserve">Every tier</w:t>
            </w:r>
          </w:p>
        </w:tc>
        <w:tc>
          <w:tcPr/>
          <w:p>
            <w:pPr>
              <w:pStyle w:val="Compact"/>
            </w:pPr>
            <w:r>
              <w:rPr>
                <w:lang w:val="en"/>
              </w:rPr>
              <w:t xml:space="preserve">Builder</w:t>
            </w:r>
          </w:p>
        </w:tc>
      </w:tr>
      <w:tr>
        <w:tc>
          <w:tcPr/>
          <w:p>
            <w:pPr>
              <w:pStyle w:val="Compact"/>
            </w:pPr>
            <w:r>
              <w:rPr>
                <w:lang w:val="en"/>
              </w:rPr>
              <w:t xml:space="preserve">☐</w:t>
            </w:r>
          </w:p>
        </w:tc>
        <w:tc>
          <w:tcPr/>
          <w:p>
            <w:pPr>
              <w:pStyle w:val="Compact"/>
            </w:pPr>
            <w:r>
              <w:rPr>
                <w:lang w:val="en"/>
              </w:rPr>
              <w:t xml:space="preserve">Coding agents run without permission-bypass modes (never-do 5)</w:t>
            </w:r>
          </w:p>
        </w:tc>
        <w:tc>
          <w:tcPr/>
          <w:p>
            <w:pPr>
              <w:pStyle w:val="Compact"/>
            </w:pPr>
            <w:r>
              <w:rPr>
                <w:lang w:val="en"/>
              </w:rPr>
              <w:t xml:space="preserve">Gate (Build: Floors and never-dos)</w:t>
            </w:r>
          </w:p>
        </w:tc>
        <w:tc>
          <w:tcPr/>
          <w:p>
            <w:pPr>
              <w:pStyle w:val="Compact"/>
            </w:pPr>
            <w:r>
              <w:rPr>
                <w:lang w:val="en"/>
              </w:rPr>
              <w:t xml:space="preserve">Every tier</w:t>
            </w:r>
          </w:p>
        </w:tc>
        <w:tc>
          <w:tcPr/>
          <w:p>
            <w:pPr>
              <w:pStyle w:val="Compact"/>
            </w:pPr>
            <w:r>
              <w:rPr>
                <w:lang w:val="en"/>
              </w:rPr>
              <w:t xml:space="preserve">Builder</w:t>
            </w:r>
          </w:p>
        </w:tc>
      </w:tr>
      <w:tr>
        <w:tc>
          <w:tcPr/>
          <w:p>
            <w:pPr>
              <w:pStyle w:val="Compact"/>
            </w:pPr>
            <w:r>
              <w:rPr>
                <w:lang w:val="en"/>
              </w:rPr>
              <w:t xml:space="preserve">☐</w:t>
            </w:r>
          </w:p>
        </w:tc>
        <w:tc>
          <w:tcPr/>
          <w:p>
            <w:pPr>
              <w:pStyle w:val="Compact"/>
            </w:pPr>
            <w:r>
              <w:rPr>
                <w:lang w:val="en"/>
              </w:rPr>
              <w:t xml:space="preserve">An agent with write access to live systems had a sandbox run first, has a scoped credential and a restore you've tested (never-do 4)</w:t>
            </w:r>
          </w:p>
        </w:tc>
        <w:tc>
          <w:tcPr/>
          <w:p>
            <w:pPr>
              <w:pStyle w:val="Compact"/>
            </w:pPr>
            <w:r>
              <w:rPr>
                <w:lang w:val="en"/>
              </w:rPr>
              <w:t xml:space="preserve">Gate (Build: Floors and never-dos)</w:t>
            </w:r>
          </w:p>
        </w:tc>
        <w:tc>
          <w:tcPr/>
          <w:p>
            <w:pPr>
              <w:pStyle w:val="Compact"/>
            </w:pPr>
            <w:r>
              <w:rPr>
                <w:lang w:val="en"/>
              </w:rPr>
              <w:t xml:space="preserve">Every tier</w:t>
            </w:r>
          </w:p>
        </w:tc>
        <w:tc>
          <w:tcPr/>
          <w:p>
            <w:pPr>
              <w:pStyle w:val="Compact"/>
            </w:pPr>
            <w:r>
              <w:rPr>
                <w:lang w:val="en"/>
              </w:rPr>
              <w:t xml:space="preserve">Builder; technical reviewer from Important</w:t>
            </w:r>
          </w:p>
        </w:tc>
      </w:tr>
      <w:tr>
        <w:tc>
          <w:tcPr/>
          <w:p>
            <w:pPr>
              <w:pStyle w:val="Compact"/>
            </w:pPr>
            <w:r>
              <w:rPr>
                <w:lang w:val="en"/>
              </w:rPr>
              <w:t xml:space="preserve">☐</w:t>
            </w:r>
          </w:p>
        </w:tc>
        <w:tc>
          <w:tcPr/>
          <w:p>
            <w:pPr>
              <w:pStyle w:val="Compact"/>
            </w:pPr>
            <w:r>
              <w:rPr>
                <w:lang w:val="en"/>
              </w:rPr>
              <w:t xml:space="preserve">An AI feature has an eval set with a pass threshold, an AI-feature review, the provider's data terms and a disclosure check (</w:t>
            </w:r>
            <w:hyperlink r:id="rId36">
              <w:r>
                <w:rPr>
                  <w:rStyle w:val="Hyperlink"/>
                  <w:lang w:val="en"/>
                </w:rPr>
                <w:t xml:space="preserve">evaluate an AI feature</w:t>
              </w:r>
            </w:hyperlink>
            <w:r>
              <w:rPr>
                <w:lang w:val="en"/>
              </w:rPr>
              <w:t xml:space="preserve">); M2 makes the app Critical</w:t>
            </w:r>
          </w:p>
        </w:tc>
        <w:tc>
          <w:tcPr/>
          <w:p>
            <w:pPr>
              <w:pStyle w:val="Compact"/>
            </w:pPr>
            <w:r>
              <w:rPr>
                <w:lang w:val="en"/>
              </w:rPr>
              <w:t xml:space="preserve">Gate (Build: AI feature (M1))</w:t>
            </w:r>
          </w:p>
        </w:tc>
        <w:tc>
          <w:tcPr/>
          <w:p>
            <w:pPr>
              <w:pStyle w:val="Compact"/>
            </w:pPr>
            <w:r>
              <w:rPr>
                <w:lang w:val="en"/>
              </w:rPr>
              <w:t xml:space="preserve">Team</w:t>
            </w:r>
          </w:p>
        </w:tc>
        <w:tc>
          <w:tcPr/>
          <w:p>
            <w:pPr>
              <w:pStyle w:val="Compact"/>
            </w:pPr>
            <w:r>
              <w:rPr>
                <w:lang w:val="en"/>
              </w:rPr>
              <w:t xml:space="preserve">Builder; technical reviewer sees the eval results from Important</w:t>
            </w:r>
          </w:p>
        </w:tc>
      </w:tr>
      <w:tr>
        <w:tc>
          <w:tcPr/>
          <w:p>
            <w:pPr>
              <w:pStyle w:val="Compact"/>
            </w:pPr>
            <w:r>
              <w:rPr>
                <w:lang w:val="en"/>
              </w:rPr>
              <w:t xml:space="preserve">☐</w:t>
            </w:r>
          </w:p>
        </w:tc>
        <w:tc>
          <w:tcPr/>
          <w:p>
            <w:pPr>
              <w:pStyle w:val="Compact"/>
            </w:pPr>
            <w:r>
              <w:rPr>
                <w:lang w:val="en"/>
              </w:rPr>
              <w:t xml:space="preserve">An agent or automation is answered for every granted permission, with its identity, grants and tokens recorded under the app owner's role</w:t>
            </w:r>
          </w:p>
        </w:tc>
        <w:tc>
          <w:tcPr/>
          <w:p>
            <w:pPr>
              <w:pStyle w:val="Compact"/>
            </w:pPr>
            <w:r>
              <w:rPr>
                <w:lang w:val="en"/>
              </w:rPr>
              <w:t xml:space="preserve">Gate (Build: Agents and automations (M3))</w:t>
            </w:r>
          </w:p>
        </w:tc>
        <w:tc>
          <w:tcPr/>
          <w:p>
            <w:pPr>
              <w:pStyle w:val="Compact"/>
            </w:pPr>
            <w:r>
              <w:rPr>
                <w:lang w:val="en"/>
              </w:rPr>
              <w:t xml:space="preserve">Team</w:t>
            </w:r>
          </w:p>
        </w:tc>
        <w:tc>
          <w:tcPr/>
          <w:p>
            <w:pPr>
              <w:pStyle w:val="Compact"/>
            </w:pPr>
            <w:r>
              <w:rPr>
                <w:lang w:val="en"/>
              </w:rPr>
              <w:t xml:space="preserve">App owner</w:t>
            </w:r>
          </w:p>
        </w:tc>
      </w:tr>
      <w:tr>
        <w:tc>
          <w:tcPr/>
          <w:p>
            <w:pPr>
              <w:pStyle w:val="Compact"/>
            </w:pPr>
            <w:r>
              <w:rPr>
                <w:lang w:val="en"/>
              </w:rPr>
              <w:t xml:space="preserve">☐</w:t>
            </w:r>
          </w:p>
        </w:tc>
        <w:tc>
          <w:tcPr/>
          <w:p>
            <w:pPr>
              <w:pStyle w:val="Compact"/>
            </w:pPr>
            <w:r>
              <w:rPr>
                <w:lang w:val="en"/>
              </w:rPr>
              <w:t xml:space="preserve">The technical check is recorded (</w:t>
            </w:r>
            <w:r>
              <w:rPr>
                <w:rStyle w:val="VerbatimChar"/>
                <w:lang w:val="en"/>
              </w:rPr>
              <w:t xml:space="preserve">technical_check_on</w:t>
            </w:r>
            <w:r>
              <w:rPr>
                <w:lang w:val="en"/>
              </w:rPr>
              <w:t xml:space="preserve">): exposure scan, negative tests and the 30–45 minute fixed-list check (</w:t>
            </w:r>
            <w:hyperlink r:id="rId37">
              <w:r>
                <w:rPr>
                  <w:rStyle w:val="Hyperlink"/>
                  <w:lang w:val="en"/>
                </w:rPr>
                <w:t xml:space="preserve">technical check</w:t>
              </w:r>
            </w:hyperlink>
            <w:r>
              <w:rPr>
                <w:lang w:val="en"/>
              </w:rPr>
              <w:t xml:space="preserve">;</w:t>
            </w:r>
            <w:r>
              <w:rPr>
                <w:lang w:val="en"/>
              </w:rPr>
              <w:t xml:space="preserve"> </w:t>
            </w:r>
            <w:hyperlink r:id="rId38">
              <w:r>
                <w:rPr>
                  <w:rStyle w:val="Hyperlink"/>
                  <w:lang w:val="en"/>
                </w:rPr>
                <w:t xml:space="preserve">what the scan must check</w:t>
              </w:r>
            </w:hyperlink>
            <w:r>
              <w:rPr>
                <w:lang w:val="en"/>
              </w:rPr>
              <w:t xml:space="preserve">)</w:t>
            </w:r>
          </w:p>
        </w:tc>
        <w:tc>
          <w:tcPr/>
          <w:p>
            <w:pPr>
              <w:pStyle w:val="Compact"/>
            </w:pPr>
            <w:r>
              <w:rPr>
                <w:lang w:val="en"/>
              </w:rPr>
              <w:t xml:space="preserve">Gate (Verify: Review)</w:t>
            </w:r>
          </w:p>
        </w:tc>
        <w:tc>
          <w:tcPr/>
          <w:p>
            <w:pPr>
              <w:pStyle w:val="Compact"/>
            </w:pPr>
            <w:r>
              <w:rPr>
                <w:lang w:val="en"/>
              </w:rPr>
              <w:t xml:space="preserve">Important</w:t>
            </w:r>
          </w:p>
        </w:tc>
        <w:tc>
          <w:tcPr/>
          <w:p>
            <w:pPr>
              <w:pStyle w:val="Compact"/>
            </w:pPr>
            <w:r>
              <w:rPr>
                <w:lang w:val="en"/>
              </w:rPr>
              <w:t xml:space="preserve">Technical reviewer</w:t>
            </w:r>
          </w:p>
        </w:tc>
      </w:tr>
      <w:tr>
        <w:tc>
          <w:tcPr/>
          <w:p>
            <w:pPr>
              <w:pStyle w:val="Compact"/>
            </w:pPr>
            <w:r>
              <w:rPr>
                <w:lang w:val="en"/>
              </w:rPr>
              <w:t xml:space="preserve">☐</w:t>
            </w:r>
          </w:p>
        </w:tc>
        <w:tc>
          <w:tcPr/>
          <w:p>
            <w:pPr>
              <w:pStyle w:val="Compact"/>
            </w:pPr>
            <w:r>
              <w:rPr>
                <w:lang w:val="en"/>
              </w:rPr>
              <w:t xml:space="preserve">The security review is done</w:t>
            </w:r>
          </w:p>
        </w:tc>
        <w:tc>
          <w:tcPr/>
          <w:p>
            <w:pPr>
              <w:pStyle w:val="Compact"/>
            </w:pPr>
            <w:r>
              <w:rPr>
                <w:lang w:val="en"/>
              </w:rPr>
              <w:t xml:space="preserve">Gate (Verify: Review)</w:t>
            </w:r>
          </w:p>
        </w:tc>
        <w:tc>
          <w:tcPr/>
          <w:p>
            <w:pPr>
              <w:pStyle w:val="Compact"/>
            </w:pPr>
            <w:r>
              <w:rPr>
                <w:lang w:val="en"/>
              </w:rPr>
              <w:t xml:space="preserve">Critical</w:t>
            </w:r>
          </w:p>
        </w:tc>
        <w:tc>
          <w:tcPr/>
          <w:p>
            <w:pPr>
              <w:pStyle w:val="Compact"/>
            </w:pPr>
            <w:r>
              <w:rPr>
                <w:lang w:val="en"/>
              </w:rPr>
              <w:t xml:space="preserve">Security reviewer</w:t>
            </w:r>
          </w:p>
        </w:tc>
      </w:tr>
      <w:tr>
        <w:tc>
          <w:tcPr/>
          <w:p>
            <w:pPr>
              <w:pStyle w:val="Compact"/>
            </w:pPr>
            <w:r>
              <w:rPr>
                <w:lang w:val="en"/>
              </w:rPr>
              <w:t xml:space="preserve">☐</w:t>
            </w:r>
          </w:p>
        </w:tc>
        <w:tc>
          <w:tcPr/>
          <w:p>
            <w:pPr>
              <w:pStyle w:val="Compact"/>
            </w:pPr>
            <w:r>
              <w:rPr>
                <w:lang w:val="en"/>
              </w:rPr>
              <w:t xml:space="preserve">The</w:t>
            </w:r>
            <w:r>
              <w:rPr>
                <w:lang w:val="en"/>
              </w:rPr>
              <w:t xml:space="preserve"> </w:t>
            </w:r>
            <w:hyperlink r:id="rId39">
              <w:r>
                <w:rPr>
                  <w:rStyle w:val="Hyperlink"/>
                  <w:lang w:val="en"/>
                </w:rPr>
                <w:t xml:space="preserve">dependency</w:t>
              </w:r>
            </w:hyperlink>
            <w:r>
              <w:rPr>
                <w:lang w:val="en"/>
              </w:rPr>
              <w:t xml:space="preserve"> </w:t>
            </w:r>
            <w:r>
              <w:rPr>
                <w:lang w:val="en"/>
              </w:rPr>
              <w:t xml:space="preserve">and</w:t>
            </w:r>
            <w:r>
              <w:rPr>
                <w:lang w:val="en"/>
              </w:rPr>
              <w:t xml:space="preserve"> </w:t>
            </w:r>
            <w:hyperlink r:id="rId40">
              <w:r>
                <w:rPr>
                  <w:rStyle w:val="Hyperlink"/>
                  <w:lang w:val="en"/>
                </w:rPr>
                <w:t xml:space="preserve">input-handling</w:t>
              </w:r>
            </w:hyperlink>
            <w:r>
              <w:rPr>
                <w:lang w:val="en"/>
              </w:rPr>
              <w:t xml:space="preserve"> </w:t>
            </w:r>
            <w:r>
              <w:rPr>
                <w:lang w:val="en"/>
              </w:rPr>
              <w:t xml:space="preserve">checks on the security checklist</w:t>
            </w:r>
          </w:p>
        </w:tc>
        <w:tc>
          <w:tcPr/>
          <w:p>
            <w:pPr>
              <w:pStyle w:val="Compact"/>
            </w:pPr>
            <w:r>
              <w:rPr>
                <w:i/>
                <w:iCs/>
                <w:lang w:val="en"/>
              </w:rPr>
              <w:t xml:space="preserve">Good practice</w:t>
            </w:r>
          </w:p>
        </w:tc>
        <w:tc>
          <w:tcPr/>
          <w:p>
            <w:pPr>
              <w:pStyle w:val="Compact"/>
            </w:pPr>
            <w:r>
              <w:rPr>
                <w:lang w:val="en"/>
              </w:rPr>
              <w:t xml:space="preserve">Team</w:t>
            </w:r>
          </w:p>
        </w:tc>
        <w:tc>
          <w:tcPr/>
          <w:p>
            <w:pPr>
              <w:pStyle w:val="Compact"/>
            </w:pPr>
            <w:r>
              <w:rPr>
                <w:lang w:val="en"/>
              </w:rPr>
              <w:t xml:space="preserve">Builder; technical reviewer from Important</w:t>
            </w:r>
          </w:p>
        </w:tc>
      </w:tr>
    </w:tbl>
    <w:p>
      <w:pPr>
        <w:pStyle w:val="BodyText"/>
      </w:pPr>
      <w:r>
        <w:rPr>
          <w:b/>
          <w:bCs/>
          <w:lang w:val="en"/>
        </w:rPr>
        <w:t xml:space="preserve">Don't: give an agent standing write access to production</w:t>
      </w:r>
    </w:p>
    <w:p>
      <w:pPr>
        <w:pStyle w:val="BodyText"/>
      </w:pPr>
      <w:r>
        <w:rPr>
          <w:lang w:val="en"/>
        </w:rPr>
        <w:t xml:space="preserve">Agents with standing production access have deleted live data (AP4; see</w:t>
      </w:r>
      <w:r>
        <w:rPr>
          <w:lang w:val="en"/>
        </w:rPr>
        <w:t xml:space="preserve"> </w:t>
      </w:r>
      <w:hyperlink r:id="rId41">
        <w:r>
          <w:rPr>
            <w:rStyle w:val="Hyperlink"/>
            <w:lang w:val="en"/>
          </w:rPr>
          <w:t xml:space="preserve">failure patterns</w:t>
        </w:r>
      </w:hyperlink>
      <w:r>
        <w:rPr>
          <w:lang w:val="en"/>
        </w:rPr>
        <w:t xml:space="preserve">). Never-do 4 applies at every tier: a sandbox run first, a scoped credential, and a restore you've tested.</w:t>
      </w:r>
    </w:p>
    <w:bookmarkEnd w:id="42"/>
    <w:bookmarkStart w:id="44" w:name="testing"/>
    <w:p>
      <w:pPr>
        <w:pStyle w:val="Heading3"/>
      </w:pPr>
      <w:r>
        <w:rPr>
          <w:lang w:val="en"/>
        </w:rPr>
        <w:t xml:space="preserve">Testing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en"/>
              </w:rPr>
              <w:t xml:space="preserve">Done</w:t>
            </w:r>
          </w:p>
        </w:tc>
        <w:tc>
          <w:tcPr/>
          <w:p>
            <w:pPr>
              <w:pStyle w:val="Compact"/>
            </w:pPr>
            <w:r>
              <w:rPr>
                <w:lang w:val="en"/>
              </w:rPr>
              <w:t xml:space="preserve">Item</w:t>
            </w:r>
          </w:p>
        </w:tc>
        <w:tc>
          <w:tcPr/>
          <w:p>
            <w:pPr>
              <w:pStyle w:val="Compact"/>
            </w:pPr>
            <w:r>
              <w:rPr>
                <w:lang w:val="en"/>
              </w:rPr>
              <w:t xml:space="preserve">Kind</w:t>
            </w:r>
          </w:p>
        </w:tc>
        <w:tc>
          <w:tcPr/>
          <w:p>
            <w:pPr>
              <w:pStyle w:val="Compact"/>
            </w:pPr>
            <w:r>
              <w:rPr>
                <w:lang w:val="en"/>
              </w:rPr>
              <w:t xml:space="preserve">From</w:t>
            </w:r>
          </w:p>
        </w:tc>
        <w:tc>
          <w:tcPr/>
          <w:p>
            <w:pPr>
              <w:pStyle w:val="Compact"/>
            </w:pPr>
            <w:r>
              <w:rPr>
                <w:lang w:val="en"/>
              </w:rPr>
              <w:t xml:space="preserve">Who checks</w:t>
            </w:r>
          </w:p>
        </w:tc>
      </w:tr>
      <w:tr>
        <w:tc>
          <w:tcPr/>
          <w:p>
            <w:pPr>
              <w:pStyle w:val="Compact"/>
            </w:pPr>
            <w:r>
              <w:rPr>
                <w:lang w:val="en"/>
              </w:rPr>
              <w:t xml:space="preserve">☐</w:t>
            </w:r>
          </w:p>
        </w:tc>
        <w:tc>
          <w:tcPr/>
          <w:p>
            <w:pPr>
              <w:pStyle w:val="Compact"/>
            </w:pPr>
            <w:r>
              <w:rPr>
                <w:lang w:val="en"/>
              </w:rPr>
              <w:t xml:space="preserve">The builder's own test cases pass before every release (</w:t>
            </w:r>
            <w:hyperlink r:id="rId43">
              <w:r>
                <w:rPr>
                  <w:rStyle w:val="Hyperlink"/>
                  <w:lang w:val="en"/>
                </w:rPr>
                <w:t xml:space="preserve">test your app</w:t>
              </w:r>
            </w:hyperlink>
            <w:r>
              <w:rPr>
                <w:lang w:val="en"/>
              </w:rPr>
              <w:t xml:space="preserve">)</w:t>
            </w:r>
          </w:p>
        </w:tc>
        <w:tc>
          <w:tcPr/>
          <w:p>
            <w:pPr>
              <w:pStyle w:val="Compact"/>
            </w:pPr>
            <w:r>
              <w:rPr>
                <w:lang w:val="en"/>
              </w:rPr>
              <w:t xml:space="preserve">Gate (Verify: Tests)</w:t>
            </w:r>
          </w:p>
        </w:tc>
        <w:tc>
          <w:tcPr/>
          <w:p>
            <w:pPr>
              <w:pStyle w:val="Compact"/>
            </w:pPr>
            <w:r>
              <w:rPr>
                <w:lang w:val="en"/>
              </w:rPr>
              <w:t xml:space="preserve">Team</w:t>
            </w:r>
          </w:p>
        </w:tc>
        <w:tc>
          <w:tcPr/>
          <w:p>
            <w:pPr>
              <w:pStyle w:val="Compact"/>
            </w:pPr>
            <w:r>
              <w:rPr>
                <w:lang w:val="en"/>
              </w:rPr>
              <w:t xml:space="preserve">Builder</w:t>
            </w:r>
          </w:p>
        </w:tc>
      </w:tr>
      <w:tr>
        <w:tc>
          <w:tcPr/>
          <w:p>
            <w:pPr>
              <w:pStyle w:val="Compact"/>
            </w:pPr>
            <w:r>
              <w:rPr>
                <w:lang w:val="en"/>
              </w:rPr>
              <w:t xml:space="preserve">☐</w:t>
            </w:r>
          </w:p>
        </w:tc>
        <w:tc>
          <w:tcPr/>
          <w:p>
            <w:pPr>
              <w:pStyle w:val="Compact"/>
            </w:pPr>
            <w:r>
              <w:rPr>
                <w:lang w:val="en"/>
              </w:rPr>
              <w:t xml:space="preserve">V.E.R.I.F.Y. self-check recorded (</w:t>
            </w:r>
            <w:hyperlink r:id="rId11">
              <w:r>
                <w:rPr>
                  <w:rStyle w:val="Hyperlink"/>
                  <w:lang w:val="en"/>
                </w:rPr>
                <w:t xml:space="preserve">the V.E.R.I.F.Y. self-check</w:t>
              </w:r>
            </w:hyperlink>
            <w:r>
              <w:rPr>
                <w:lang w:val="en"/>
              </w:rPr>
              <w:t xml:space="preserve">)</w:t>
            </w:r>
          </w:p>
        </w:tc>
        <w:tc>
          <w:tcPr/>
          <w:p>
            <w:pPr>
              <w:pStyle w:val="Compact"/>
            </w:pPr>
            <w:r>
              <w:rPr>
                <w:lang w:val="en"/>
              </w:rPr>
              <w:t xml:space="preserve">Gate (Verify: Review)</w:t>
            </w:r>
          </w:p>
        </w:tc>
        <w:tc>
          <w:tcPr/>
          <w:p>
            <w:pPr>
              <w:pStyle w:val="Compact"/>
            </w:pPr>
            <w:r>
              <w:rPr>
                <w:lang w:val="en"/>
              </w:rPr>
              <w:t xml:space="preserve">Team</w:t>
            </w:r>
          </w:p>
        </w:tc>
        <w:tc>
          <w:tcPr/>
          <w:p>
            <w:pPr>
              <w:pStyle w:val="Compact"/>
            </w:pPr>
            <w:r>
              <w:rPr>
                <w:lang w:val="en"/>
              </w:rPr>
              <w:t xml:space="preserve">Builder</w:t>
            </w:r>
          </w:p>
        </w:tc>
      </w:tr>
      <w:tr>
        <w:tc>
          <w:tcPr/>
          <w:p>
            <w:pPr>
              <w:pStyle w:val="Compact"/>
            </w:pPr>
            <w:r>
              <w:rPr>
                <w:lang w:val="en"/>
              </w:rPr>
              <w:t xml:space="preserve">☐</w:t>
            </w:r>
          </w:p>
        </w:tc>
        <w:tc>
          <w:tcPr/>
          <w:p>
            <w:pPr>
              <w:pStyle w:val="Compact"/>
            </w:pPr>
            <w:r>
              <w:rPr>
                <w:lang w:val="en"/>
              </w:rPr>
              <w:t xml:space="preserve">A business review recorded (</w:t>
            </w:r>
            <w:hyperlink r:id="rId37">
              <w:r>
                <w:rPr>
                  <w:rStyle w:val="Hyperlink"/>
                  <w:lang w:val="en"/>
                </w:rPr>
                <w:t xml:space="preserve">business review and technical check</w:t>
              </w:r>
            </w:hyperlink>
            <w:r>
              <w:rPr>
                <w:lang w:val="en"/>
              </w:rPr>
              <w:t xml:space="preserve">)</w:t>
            </w:r>
          </w:p>
        </w:tc>
        <w:tc>
          <w:tcPr/>
          <w:p>
            <w:pPr>
              <w:pStyle w:val="Compact"/>
            </w:pPr>
            <w:r>
              <w:rPr>
                <w:lang w:val="en"/>
              </w:rPr>
              <w:t xml:space="preserve">Gate (Verify: Review)</w:t>
            </w:r>
          </w:p>
        </w:tc>
        <w:tc>
          <w:tcPr/>
          <w:p>
            <w:pPr>
              <w:pStyle w:val="Compact"/>
            </w:pPr>
            <w:r>
              <w:rPr>
                <w:lang w:val="en"/>
              </w:rPr>
              <w:t xml:space="preserve">Important</w:t>
            </w:r>
          </w:p>
        </w:tc>
        <w:tc>
          <w:tcPr/>
          <w:p>
            <w:pPr>
              <w:pStyle w:val="Compact"/>
            </w:pPr>
            <w:r>
              <w:rPr>
                <w:lang w:val="en"/>
              </w:rPr>
              <w:t xml:space="preserve">A colleague who knows the process, not the builder</w:t>
            </w:r>
          </w:p>
        </w:tc>
      </w:tr>
      <w:tr>
        <w:tc>
          <w:tcPr/>
          <w:p>
            <w:pPr>
              <w:pStyle w:val="Compact"/>
            </w:pPr>
            <w:r>
              <w:rPr>
                <w:lang w:val="en"/>
              </w:rPr>
              <w:t xml:space="preserve">☐</w:t>
            </w:r>
          </w:p>
        </w:tc>
        <w:tc>
          <w:tcPr/>
          <w:p>
            <w:pPr>
              <w:pStyle w:val="Compact"/>
            </w:pPr>
            <w:r>
              <w:rPr>
                <w:lang w:val="en"/>
              </w:rPr>
              <w:t xml:space="preserve">Independent tests pass</w:t>
            </w:r>
          </w:p>
        </w:tc>
        <w:tc>
          <w:tcPr/>
          <w:p>
            <w:pPr>
              <w:pStyle w:val="Compact"/>
            </w:pPr>
            <w:r>
              <w:rPr>
                <w:lang w:val="en"/>
              </w:rPr>
              <w:t xml:space="preserve">Gate (Verify: Tests)</w:t>
            </w:r>
          </w:p>
        </w:tc>
        <w:tc>
          <w:tcPr/>
          <w:p>
            <w:pPr>
              <w:pStyle w:val="Compact"/>
            </w:pPr>
            <w:r>
              <w:rPr>
                <w:lang w:val="en"/>
              </w:rPr>
              <w:t xml:space="preserve">Critical</w:t>
            </w:r>
          </w:p>
        </w:tc>
        <w:tc>
          <w:tcPr/>
          <w:p>
            <w:pPr>
              <w:pStyle w:val="Compact"/>
            </w:pPr>
            <w:r>
              <w:rPr>
                <w:lang w:val="en"/>
              </w:rPr>
              <w:t xml:space="preserve">IT or engineering, not the builder</w:t>
            </w:r>
          </w:p>
        </w:tc>
      </w:tr>
    </w:tbl>
    <w:bookmarkEnd w:id="44"/>
    <w:bookmarkStart w:id="45" w:name="environments"/>
    <w:p>
      <w:pPr>
        <w:pStyle w:val="Heading3"/>
      </w:pPr>
      <w:r>
        <w:rPr>
          <w:lang w:val="en"/>
        </w:rPr>
        <w:t xml:space="preserve">Environments</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en"/>
              </w:rPr>
              <w:t xml:space="preserve">Done</w:t>
            </w:r>
          </w:p>
        </w:tc>
        <w:tc>
          <w:tcPr/>
          <w:p>
            <w:pPr>
              <w:pStyle w:val="Compact"/>
            </w:pPr>
            <w:r>
              <w:rPr>
                <w:lang w:val="en"/>
              </w:rPr>
              <w:t xml:space="preserve">Item</w:t>
            </w:r>
          </w:p>
        </w:tc>
        <w:tc>
          <w:tcPr/>
          <w:p>
            <w:pPr>
              <w:pStyle w:val="Compact"/>
            </w:pPr>
            <w:r>
              <w:rPr>
                <w:lang w:val="en"/>
              </w:rPr>
              <w:t xml:space="preserve">Kind</w:t>
            </w:r>
          </w:p>
        </w:tc>
        <w:tc>
          <w:tcPr/>
          <w:p>
            <w:pPr>
              <w:pStyle w:val="Compact"/>
            </w:pPr>
            <w:r>
              <w:rPr>
                <w:lang w:val="en"/>
              </w:rPr>
              <w:t xml:space="preserve">From</w:t>
            </w:r>
          </w:p>
        </w:tc>
        <w:tc>
          <w:tcPr/>
          <w:p>
            <w:pPr>
              <w:pStyle w:val="Compact"/>
            </w:pPr>
            <w:r>
              <w:rPr>
                <w:lang w:val="en"/>
              </w:rPr>
              <w:t xml:space="preserve">Who checks</w:t>
            </w:r>
          </w:p>
        </w:tc>
      </w:tr>
      <w:tr>
        <w:tc>
          <w:tcPr/>
          <w:p>
            <w:pPr>
              <w:pStyle w:val="Compact"/>
            </w:pPr>
            <w:r>
              <w:rPr>
                <w:lang w:val="en"/>
              </w:rPr>
              <w:t xml:space="preserve">☐</w:t>
            </w:r>
          </w:p>
        </w:tc>
        <w:tc>
          <w:tcPr/>
          <w:p>
            <w:pPr>
              <w:pStyle w:val="Compact"/>
            </w:pPr>
            <w:r>
              <w:rPr>
                <w:lang w:val="en"/>
              </w:rPr>
              <w:t xml:space="preserve">Separate test and production, with different access and no live data in test</w:t>
            </w:r>
          </w:p>
        </w:tc>
        <w:tc>
          <w:tcPr/>
          <w:p>
            <w:pPr>
              <w:pStyle w:val="Compact"/>
            </w:pPr>
            <w:r>
              <w:rPr>
                <w:lang w:val="en"/>
              </w:rPr>
              <w:t xml:space="preserve">Gate (Deploy: Hosting)</w:t>
            </w:r>
          </w:p>
        </w:tc>
        <w:tc>
          <w:tcPr/>
          <w:p>
            <w:pPr>
              <w:pStyle w:val="Compact"/>
            </w:pPr>
            <w:r>
              <w:rPr>
                <w:lang w:val="en"/>
              </w:rPr>
              <w:t xml:space="preserve">Important</w:t>
            </w:r>
          </w:p>
        </w:tc>
        <w:tc>
          <w:tcPr/>
          <w:p>
            <w:pPr>
              <w:pStyle w:val="Compact"/>
            </w:pPr>
            <w:r>
              <w:rPr>
                <w:lang w:val="en"/>
              </w:rPr>
              <w:t xml:space="preserve">Technical reviewer</w:t>
            </w:r>
          </w:p>
        </w:tc>
      </w:tr>
      <w:tr>
        <w:tc>
          <w:tcPr/>
          <w:p>
            <w:pPr>
              <w:pStyle w:val="Compact"/>
            </w:pPr>
            <w:r>
              <w:rPr>
                <w:lang w:val="en"/>
              </w:rPr>
              <w:t xml:space="preserve">☐</w:t>
            </w:r>
          </w:p>
        </w:tc>
        <w:tc>
          <w:tcPr/>
          <w:p>
            <w:pPr>
              <w:pStyle w:val="Compact"/>
            </w:pPr>
            <w:r>
              <w:rPr>
                <w:lang w:val="en"/>
              </w:rPr>
              <w:t xml:space="preserve">Changes are tried somewhere that isn't live data</w:t>
            </w:r>
          </w:p>
        </w:tc>
        <w:tc>
          <w:tcPr/>
          <w:p>
            <w:pPr>
              <w:pStyle w:val="Compact"/>
            </w:pPr>
            <w:r>
              <w:rPr>
                <w:i/>
                <w:iCs/>
                <w:lang w:val="en"/>
              </w:rPr>
              <w:t xml:space="preserve">Good practice</w:t>
            </w:r>
          </w:p>
        </w:tc>
        <w:tc>
          <w:tcPr/>
          <w:p>
            <w:pPr>
              <w:pStyle w:val="Compact"/>
            </w:pPr>
            <w:r>
              <w:rPr>
                <w:lang w:val="en"/>
              </w:rPr>
              <w:t xml:space="preserve">Team</w:t>
            </w:r>
          </w:p>
        </w:tc>
        <w:tc>
          <w:tcPr/>
          <w:p>
            <w:pPr>
              <w:pStyle w:val="Compact"/>
            </w:pPr>
            <w:r>
              <w:rPr>
                <w:lang w:val="en"/>
              </w:rPr>
              <w:t xml:space="preserve">Builder</w:t>
            </w:r>
          </w:p>
        </w:tc>
      </w:tr>
      <w:tr>
        <w:tc>
          <w:tcPr/>
          <w:p>
            <w:pPr>
              <w:pStyle w:val="Compact"/>
            </w:pPr>
            <w:r>
              <w:rPr>
                <w:lang w:val="en"/>
              </w:rPr>
              <w:t xml:space="preserve">☐</w:t>
            </w:r>
          </w:p>
        </w:tc>
        <w:tc>
          <w:tcPr/>
          <w:p>
            <w:pPr>
              <w:pStyle w:val="Compact"/>
            </w:pPr>
            <w:r>
              <w:rPr>
                <w:lang w:val="en"/>
              </w:rPr>
              <w:t xml:space="preserve">Production isn't changed by hand in the builder's editor without a recorded change</w:t>
            </w:r>
          </w:p>
        </w:tc>
        <w:tc>
          <w:tcPr/>
          <w:p>
            <w:pPr>
              <w:pStyle w:val="Compact"/>
            </w:pPr>
            <w:r>
              <w:rPr>
                <w:i/>
                <w:iCs/>
                <w:lang w:val="en"/>
              </w:rPr>
              <w:t xml:space="preserve">Good practice</w:t>
            </w:r>
          </w:p>
        </w:tc>
        <w:tc>
          <w:tcPr/>
          <w:p>
            <w:pPr>
              <w:pStyle w:val="Compact"/>
            </w:pPr>
            <w:r>
              <w:rPr>
                <w:lang w:val="en"/>
              </w:rPr>
              <w:t xml:space="preserve">Important</w:t>
            </w:r>
          </w:p>
        </w:tc>
        <w:tc>
          <w:tcPr/>
          <w:p>
            <w:pPr>
              <w:pStyle w:val="Compact"/>
            </w:pPr>
            <w:r>
              <w:rPr>
                <w:lang w:val="en"/>
              </w:rPr>
              <w:t xml:space="preserve">App owner</w:t>
            </w:r>
          </w:p>
        </w:tc>
      </w:tr>
    </w:tbl>
    <w:bookmarkEnd w:id="45"/>
    <w:bookmarkStart w:id="48" w:name="operations"/>
    <w:p>
      <w:pPr>
        <w:pStyle w:val="Heading3"/>
      </w:pPr>
      <w:r>
        <w:rPr>
          <w:lang w:val="en"/>
        </w:rPr>
        <w:t xml:space="preserve">Operations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en"/>
              </w:rPr>
              <w:t xml:space="preserve">Done</w:t>
            </w:r>
          </w:p>
        </w:tc>
        <w:tc>
          <w:tcPr/>
          <w:p>
            <w:pPr>
              <w:pStyle w:val="Compact"/>
            </w:pPr>
            <w:r>
              <w:rPr>
                <w:lang w:val="en"/>
              </w:rPr>
              <w:t xml:space="preserve">Item</w:t>
            </w:r>
          </w:p>
        </w:tc>
        <w:tc>
          <w:tcPr/>
          <w:p>
            <w:pPr>
              <w:pStyle w:val="Compact"/>
            </w:pPr>
            <w:r>
              <w:rPr>
                <w:lang w:val="en"/>
              </w:rPr>
              <w:t xml:space="preserve">Kind</w:t>
            </w:r>
          </w:p>
        </w:tc>
        <w:tc>
          <w:tcPr/>
          <w:p>
            <w:pPr>
              <w:pStyle w:val="Compact"/>
            </w:pPr>
            <w:r>
              <w:rPr>
                <w:lang w:val="en"/>
              </w:rPr>
              <w:t xml:space="preserve">From</w:t>
            </w:r>
          </w:p>
        </w:tc>
        <w:tc>
          <w:tcPr/>
          <w:p>
            <w:pPr>
              <w:pStyle w:val="Compact"/>
            </w:pPr>
            <w:r>
              <w:rPr>
                <w:lang w:val="en"/>
              </w:rPr>
              <w:t xml:space="preserve">Who checks</w:t>
            </w:r>
          </w:p>
        </w:tc>
      </w:tr>
      <w:tr>
        <w:tc>
          <w:tcPr/>
          <w:p>
            <w:pPr>
              <w:pStyle w:val="Compact"/>
            </w:pPr>
            <w:r>
              <w:rPr>
                <w:lang w:val="en"/>
              </w:rPr>
              <w:t xml:space="preserve">☐</w:t>
            </w:r>
          </w:p>
        </w:tc>
        <w:tc>
          <w:tcPr/>
          <w:p>
            <w:pPr>
              <w:pStyle w:val="Compact"/>
            </w:pPr>
            <w:r>
              <w:rPr>
                <w:lang w:val="en"/>
              </w:rPr>
              <w:t xml:space="preserve">The platform's audit log is on and kept (</w:t>
            </w:r>
            <w:hyperlink r:id="rId46">
              <w:r>
                <w:rPr>
                  <w:rStyle w:val="Hyperlink"/>
                  <w:lang w:val="en"/>
                </w:rPr>
                <w:t xml:space="preserve">logging</w:t>
              </w:r>
            </w:hyperlink>
            <w:r>
              <w:rPr>
                <w:lang w:val="en"/>
              </w:rPr>
              <w:t xml:space="preserve">)</w:t>
            </w:r>
          </w:p>
        </w:tc>
        <w:tc>
          <w:tcPr/>
          <w:p>
            <w:pPr>
              <w:pStyle w:val="Compact"/>
            </w:pPr>
            <w:r>
              <w:rPr>
                <w:i/>
                <w:iCs/>
                <w:lang w:val="en"/>
              </w:rPr>
              <w:t xml:space="preserve">Good practice</w:t>
            </w:r>
          </w:p>
        </w:tc>
        <w:tc>
          <w:tcPr/>
          <w:p>
            <w:pPr>
              <w:pStyle w:val="Compact"/>
            </w:pPr>
            <w:r>
              <w:rPr>
                <w:lang w:val="en"/>
              </w:rPr>
              <w:t xml:space="preserve">Team</w:t>
            </w:r>
          </w:p>
        </w:tc>
        <w:tc>
          <w:tcPr/>
          <w:p>
            <w:pPr>
              <w:pStyle w:val="Compact"/>
            </w:pPr>
            <w:r>
              <w:rPr>
                <w:lang w:val="en"/>
              </w:rPr>
              <w:t xml:space="preserve">Builder</w:t>
            </w:r>
          </w:p>
        </w:tc>
      </w:tr>
      <w:tr>
        <w:tc>
          <w:tcPr/>
          <w:p>
            <w:pPr>
              <w:pStyle w:val="Compact"/>
            </w:pPr>
            <w:r>
              <w:rPr>
                <w:lang w:val="en"/>
              </w:rPr>
              <w:t xml:space="preserve">☐</w:t>
            </w:r>
          </w:p>
        </w:tc>
        <w:tc>
          <w:tcPr/>
          <w:p>
            <w:pPr>
              <w:pStyle w:val="Compact"/>
            </w:pPr>
            <w:r>
              <w:rPr>
                <w:lang w:val="en"/>
              </w:rPr>
              <w:t xml:space="preserve">Backups or exports are scheduled</w:t>
            </w:r>
          </w:p>
        </w:tc>
        <w:tc>
          <w:tcPr/>
          <w:p>
            <w:pPr>
              <w:pStyle w:val="Compact"/>
            </w:pPr>
            <w:r>
              <w:rPr>
                <w:i/>
                <w:iCs/>
                <w:lang w:val="en"/>
              </w:rPr>
              <w:t xml:space="preserve">Good practice</w:t>
            </w:r>
          </w:p>
        </w:tc>
        <w:tc>
          <w:tcPr/>
          <w:p>
            <w:pPr>
              <w:pStyle w:val="Compact"/>
            </w:pPr>
            <w:r>
              <w:rPr>
                <w:lang w:val="en"/>
              </w:rPr>
              <w:t xml:space="preserve">Team</w:t>
            </w:r>
          </w:p>
        </w:tc>
        <w:tc>
          <w:tcPr/>
          <w:p>
            <w:pPr>
              <w:pStyle w:val="Compact"/>
            </w:pPr>
            <w:r>
              <w:rPr>
                <w:lang w:val="en"/>
              </w:rPr>
              <w:t xml:space="preserve">Builder</w:t>
            </w:r>
          </w:p>
        </w:tc>
      </w:tr>
      <w:tr>
        <w:tc>
          <w:tcPr/>
          <w:p>
            <w:pPr>
              <w:pStyle w:val="Compact"/>
            </w:pPr>
            <w:r>
              <w:rPr>
                <w:lang w:val="en"/>
              </w:rPr>
              <w:t xml:space="preserve">☐</w:t>
            </w:r>
          </w:p>
        </w:tc>
        <w:tc>
          <w:tcPr/>
          <w:p>
            <w:pPr>
              <w:pStyle w:val="Compact"/>
            </w:pPr>
            <w:r>
              <w:rPr>
                <w:lang w:val="en"/>
              </w:rPr>
              <w:t xml:space="preserve">A restore tested by someone other than the builder, dated in the record (</w:t>
            </w:r>
            <w:r>
              <w:rPr>
                <w:rStyle w:val="VerbatimChar"/>
                <w:lang w:val="en"/>
              </w:rPr>
              <w:t xml:space="preserve">last_restore_test_on</w:t>
            </w:r>
            <w:r>
              <w:rPr>
                <w:lang w:val="en"/>
              </w:rPr>
              <w:t xml:space="preserve">)</w:t>
            </w:r>
          </w:p>
        </w:tc>
        <w:tc>
          <w:tcPr/>
          <w:p>
            <w:pPr>
              <w:pStyle w:val="Compact"/>
            </w:pPr>
            <w:r>
              <w:rPr>
                <w:i/>
                <w:iCs/>
                <w:lang w:val="en"/>
              </w:rPr>
              <w:t xml:space="preserve">Good practice</w:t>
            </w:r>
          </w:p>
        </w:tc>
        <w:tc>
          <w:tcPr/>
          <w:p>
            <w:pPr>
              <w:pStyle w:val="Compact"/>
            </w:pPr>
            <w:r>
              <w:rPr>
                <w:lang w:val="en"/>
              </w:rPr>
              <w:t xml:space="preserve">Important</w:t>
            </w:r>
          </w:p>
        </w:tc>
        <w:tc>
          <w:tcPr/>
          <w:p>
            <w:pPr>
              <w:pStyle w:val="Compact"/>
            </w:pPr>
            <w:r>
              <w:rPr>
                <w:lang w:val="en"/>
              </w:rPr>
              <w:t xml:space="preserve">Named backup</w:t>
            </w:r>
          </w:p>
        </w:tc>
      </w:tr>
      <w:tr>
        <w:tc>
          <w:tcPr/>
          <w:p>
            <w:pPr>
              <w:pStyle w:val="Compact"/>
            </w:pPr>
            <w:r>
              <w:rPr>
                <w:lang w:val="en"/>
              </w:rPr>
              <w:t xml:space="preserve">☐</w:t>
            </w:r>
          </w:p>
        </w:tc>
        <w:tc>
          <w:tcPr/>
          <w:p>
            <w:pPr>
              <w:pStyle w:val="Compact"/>
            </w:pPr>
            <w:r>
              <w:rPr>
                <w:lang w:val="en"/>
              </w:rPr>
              <w:t xml:space="preserve">Someone is alerted if the app stops or its</w:t>
            </w:r>
            <w:r>
              <w:rPr>
                <w:lang w:val="en"/>
              </w:rPr>
              <w:t xml:space="preserve"> </w:t>
            </w:r>
            <w:hyperlink r:id="rId47">
              <w:r>
                <w:rPr>
                  <w:rStyle w:val="Hyperlink"/>
                  <w:lang w:val="en"/>
                </w:rPr>
                <w:t xml:space="preserve">AI spend</w:t>
              </w:r>
            </w:hyperlink>
            <w:r>
              <w:rPr>
                <w:lang w:val="en"/>
              </w:rPr>
              <w:t xml:space="preserve"> </w:t>
            </w:r>
            <w:r>
              <w:rPr>
                <w:lang w:val="en"/>
              </w:rPr>
              <w:t xml:space="preserve">jumps (with no pipeline: an uptime check in IT's monitoring tool, or a scheduled test sign-in, alerting the registry's support route)</w:t>
            </w:r>
          </w:p>
        </w:tc>
        <w:tc>
          <w:tcPr/>
          <w:p>
            <w:pPr>
              <w:pStyle w:val="Compact"/>
            </w:pPr>
            <w:r>
              <w:rPr>
                <w:i/>
                <w:iCs/>
                <w:lang w:val="en"/>
              </w:rPr>
              <w:t xml:space="preserve">Good practice</w:t>
            </w:r>
          </w:p>
        </w:tc>
        <w:tc>
          <w:tcPr/>
          <w:p>
            <w:pPr>
              <w:pStyle w:val="Compact"/>
            </w:pPr>
            <w:r>
              <w:rPr>
                <w:lang w:val="en"/>
              </w:rPr>
              <w:t xml:space="preserve">Important</w:t>
            </w:r>
          </w:p>
        </w:tc>
        <w:tc>
          <w:tcPr/>
          <w:p>
            <w:pPr>
              <w:pStyle w:val="Compact"/>
            </w:pPr>
            <w:r>
              <w:rPr>
                <w:lang w:val="en"/>
              </w:rPr>
              <w:t xml:space="preserve">App owner, with IT</w:t>
            </w:r>
          </w:p>
        </w:tc>
      </w:tr>
    </w:tbl>
    <w:bookmarkEnd w:id="48"/>
    <w:bookmarkStart w:id="50" w:name="accessibility-items"/>
    <w:p>
      <w:pPr>
        <w:pStyle w:val="Heading3"/>
      </w:pPr>
      <w:r>
        <w:rPr>
          <w:lang w:val="en"/>
        </w:rPr>
        <w:t xml:space="preserve">Accessibility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en"/>
              </w:rPr>
              <w:t xml:space="preserve">Done</w:t>
            </w:r>
          </w:p>
        </w:tc>
        <w:tc>
          <w:tcPr/>
          <w:p>
            <w:pPr>
              <w:pStyle w:val="Compact"/>
            </w:pPr>
            <w:r>
              <w:rPr>
                <w:lang w:val="en"/>
              </w:rPr>
              <w:t xml:space="preserve">Item</w:t>
            </w:r>
          </w:p>
        </w:tc>
        <w:tc>
          <w:tcPr/>
          <w:p>
            <w:pPr>
              <w:pStyle w:val="Compact"/>
            </w:pPr>
            <w:r>
              <w:rPr>
                <w:lang w:val="en"/>
              </w:rPr>
              <w:t xml:space="preserve">Kind</w:t>
            </w:r>
          </w:p>
        </w:tc>
        <w:tc>
          <w:tcPr/>
          <w:p>
            <w:pPr>
              <w:pStyle w:val="Compact"/>
            </w:pPr>
            <w:r>
              <w:rPr>
                <w:lang w:val="en"/>
              </w:rPr>
              <w:t xml:space="preserve">From</w:t>
            </w:r>
          </w:p>
        </w:tc>
        <w:tc>
          <w:tcPr/>
          <w:p>
            <w:pPr>
              <w:pStyle w:val="Compact"/>
            </w:pPr>
            <w:r>
              <w:rPr>
                <w:lang w:val="en"/>
              </w:rPr>
              <w:t xml:space="preserve">Who checks</w:t>
            </w:r>
          </w:p>
        </w:tc>
      </w:tr>
      <w:tr>
        <w:tc>
          <w:tcPr/>
          <w:p>
            <w:pPr>
              <w:pStyle w:val="Compact"/>
            </w:pPr>
            <w:r>
              <w:rPr>
                <w:lang w:val="en"/>
              </w:rPr>
              <w:t xml:space="preserve">☐</w:t>
            </w:r>
          </w:p>
        </w:tc>
        <w:tc>
          <w:tcPr/>
          <w:p>
            <w:pPr>
              <w:pStyle w:val="Compact"/>
            </w:pPr>
            <w:r>
              <w:rPr>
                <w:lang w:val="en"/>
              </w:rPr>
              <w:t xml:space="preserve">If people outside the business use the app (Q2(c)) or receive messages it sends or drafts: an accessibility check (WCAG 2.2 AA) of its core tasks and an</w:t>
            </w:r>
            <w:r>
              <w:rPr>
                <w:lang w:val="en"/>
              </w:rPr>
              <w:t xml:space="preserve"> </w:t>
            </w:r>
            <w:hyperlink r:id="rId49">
              <w:r>
                <w:rPr>
                  <w:rStyle w:val="Hyperlink"/>
                  <w:lang w:val="en"/>
                </w:rPr>
                <w:t xml:space="preserve">AI-disclosure check</w:t>
              </w:r>
            </w:hyperlink>
            <w:r>
              <w:rPr>
                <w:lang w:val="en"/>
              </w:rPr>
              <w:t xml:space="preserve">, both recorded</w:t>
            </w:r>
          </w:p>
        </w:tc>
        <w:tc>
          <w:tcPr/>
          <w:p>
            <w:pPr>
              <w:pStyle w:val="Compact"/>
            </w:pPr>
            <w:r>
              <w:rPr>
                <w:lang w:val="en"/>
              </w:rPr>
              <w:t xml:space="preserve">Gate (Verify: Review)</w:t>
            </w:r>
          </w:p>
        </w:tc>
        <w:tc>
          <w:tcPr/>
          <w:p>
            <w:pPr>
              <w:pStyle w:val="Compact"/>
            </w:pPr>
            <w:r>
              <w:rPr>
                <w:lang w:val="en"/>
              </w:rPr>
              <w:t xml:space="preserve">Important</w:t>
            </w:r>
          </w:p>
        </w:tc>
        <w:tc>
          <w:tcPr/>
          <w:p>
            <w:pPr>
              <w:pStyle w:val="Compact"/>
            </w:pPr>
            <w:r>
              <w:rPr>
                <w:lang w:val="en"/>
              </w:rPr>
              <w:t xml:space="preserve">App owner signs; counsel on what law applies (</w:t>
            </w:r>
            <w:hyperlink w:anchor="accessibility">
              <w:r>
                <w:rPr>
                  <w:rStyle w:val="Hyperlink"/>
                  <w:lang w:val="en"/>
                </w:rPr>
                <w:t xml:space="preserve">accessibility</w:t>
              </w:r>
            </w:hyperlink>
            <w:r>
              <w:rPr>
                <w:lang w:val="en"/>
              </w:rPr>
              <w:t xml:space="preserve">)</w:t>
            </w:r>
          </w:p>
        </w:tc>
      </w:tr>
      <w:tr>
        <w:tc>
          <w:tcPr/>
          <w:p>
            <w:pPr>
              <w:pStyle w:val="Compact"/>
            </w:pPr>
            <w:r>
              <w:rPr>
                <w:lang w:val="en"/>
              </w:rPr>
              <w:t xml:space="preserve">☐</w:t>
            </w:r>
          </w:p>
        </w:tc>
        <w:tc>
          <w:tcPr/>
          <w:p>
            <w:pPr>
              <w:pStyle w:val="Compact"/>
            </w:pPr>
            <w:r>
              <w:rPr>
                <w:lang w:val="en"/>
              </w:rPr>
              <w:t xml:space="preserve">WCAG 2.2 AA checks on the core tasks of an app only staff use</w:t>
            </w:r>
          </w:p>
        </w:tc>
        <w:tc>
          <w:tcPr/>
          <w:p>
            <w:pPr>
              <w:pStyle w:val="Compact"/>
            </w:pPr>
            <w:r>
              <w:rPr>
                <w:i/>
                <w:iCs/>
                <w:lang w:val="en"/>
              </w:rPr>
              <w:t xml:space="preserve">Good practice</w:t>
            </w:r>
          </w:p>
        </w:tc>
        <w:tc>
          <w:tcPr/>
          <w:p>
            <w:pPr>
              <w:pStyle w:val="Compact"/>
            </w:pPr>
            <w:r>
              <w:rPr>
                <w:lang w:val="en"/>
              </w:rPr>
              <w:t xml:space="preserve">Important</w:t>
            </w:r>
          </w:p>
        </w:tc>
        <w:tc>
          <w:tcPr/>
          <w:p>
            <w:pPr>
              <w:pStyle w:val="Compact"/>
            </w:pPr>
            <w:r>
              <w:rPr>
                <w:lang w:val="en"/>
              </w:rPr>
              <w:t xml:space="preserve">Builder</w:t>
            </w:r>
          </w:p>
        </w:tc>
      </w:tr>
      <w:tr>
        <w:tc>
          <w:tcPr/>
          <w:p>
            <w:pPr>
              <w:pStyle w:val="Compact"/>
            </w:pPr>
            <w:r>
              <w:rPr>
                <w:lang w:val="en"/>
              </w:rPr>
              <w:t xml:space="preserve">☐</w:t>
            </w:r>
          </w:p>
        </w:tc>
        <w:tc>
          <w:tcPr/>
          <w:p>
            <w:pPr>
              <w:pStyle w:val="Compact"/>
            </w:pPr>
            <w:r>
              <w:rPr>
                <w:lang w:val="en"/>
              </w:rPr>
              <w:t xml:space="preserve">Basic checks: keyboard use, labels, contrast</w:t>
            </w:r>
          </w:p>
        </w:tc>
        <w:tc>
          <w:tcPr/>
          <w:p>
            <w:pPr>
              <w:pStyle w:val="Compact"/>
            </w:pPr>
            <w:r>
              <w:rPr>
                <w:i/>
                <w:iCs/>
                <w:lang w:val="en"/>
              </w:rPr>
              <w:t xml:space="preserve">Good practice</w:t>
            </w:r>
          </w:p>
        </w:tc>
        <w:tc>
          <w:tcPr/>
          <w:p>
            <w:pPr>
              <w:pStyle w:val="Compact"/>
            </w:pPr>
            <w:r>
              <w:rPr>
                <w:lang w:val="en"/>
              </w:rPr>
              <w:t xml:space="preserve">Team</w:t>
            </w:r>
          </w:p>
        </w:tc>
        <w:tc>
          <w:tcPr/>
          <w:p>
            <w:pPr>
              <w:pStyle w:val="Compact"/>
            </w:pPr>
            <w:r>
              <w:rPr>
                <w:lang w:val="en"/>
              </w:rPr>
              <w:t xml:space="preserve">Builder</w:t>
            </w:r>
          </w:p>
        </w:tc>
      </w:tr>
      <w:tr>
        <w:tc>
          <w:tcPr/>
          <w:p>
            <w:pPr>
              <w:pStyle w:val="Compact"/>
            </w:pPr>
            <w:r>
              <w:rPr>
                <w:lang w:val="en"/>
              </w:rPr>
              <w:t xml:space="preserve">☐</w:t>
            </w:r>
          </w:p>
        </w:tc>
        <w:tc>
          <w:tcPr/>
          <w:p>
            <w:pPr>
              <w:pStyle w:val="Compact"/>
            </w:pPr>
            <w:r>
              <w:rPr>
                <w:lang w:val="en"/>
              </w:rPr>
              <w:t xml:space="preserve">A named route to ask for an accessible alternative</w:t>
            </w:r>
          </w:p>
        </w:tc>
        <w:tc>
          <w:tcPr/>
          <w:p>
            <w:pPr>
              <w:pStyle w:val="Compact"/>
            </w:pPr>
            <w:r>
              <w:rPr>
                <w:i/>
                <w:iCs/>
                <w:lang w:val="en"/>
              </w:rPr>
              <w:t xml:space="preserve">Good practice</w:t>
            </w:r>
          </w:p>
        </w:tc>
        <w:tc>
          <w:tcPr/>
          <w:p>
            <w:pPr>
              <w:pStyle w:val="Compact"/>
            </w:pPr>
            <w:r>
              <w:rPr>
                <w:lang w:val="en"/>
              </w:rPr>
              <w:t xml:space="preserve">Team</w:t>
            </w:r>
          </w:p>
        </w:tc>
        <w:tc>
          <w:tcPr/>
          <w:p>
            <w:pPr>
              <w:pStyle w:val="Compact"/>
            </w:pPr>
            <w:r>
              <w:rPr>
                <w:lang w:val="en"/>
              </w:rPr>
              <w:t xml:space="preserve">App owner</w:t>
            </w:r>
          </w:p>
        </w:tc>
      </w:tr>
    </w:tbl>
    <w:bookmarkEnd w:id="50"/>
    <w:bookmarkStart w:id="53" w:name="documentation"/>
    <w:p>
      <w:pPr>
        <w:pStyle w:val="Heading3"/>
      </w:pPr>
      <w:r>
        <w:rPr>
          <w:lang w:val="en"/>
        </w:rPr>
        <w:t xml:space="preserve">Documentation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en"/>
              </w:rPr>
              <w:t xml:space="preserve">Done</w:t>
            </w:r>
          </w:p>
        </w:tc>
        <w:tc>
          <w:tcPr/>
          <w:p>
            <w:pPr>
              <w:pStyle w:val="Compact"/>
            </w:pPr>
            <w:r>
              <w:rPr>
                <w:lang w:val="en"/>
              </w:rPr>
              <w:t xml:space="preserve">Item</w:t>
            </w:r>
          </w:p>
        </w:tc>
        <w:tc>
          <w:tcPr/>
          <w:p>
            <w:pPr>
              <w:pStyle w:val="Compact"/>
            </w:pPr>
            <w:r>
              <w:rPr>
                <w:lang w:val="en"/>
              </w:rPr>
              <w:t xml:space="preserve">Kind</w:t>
            </w:r>
          </w:p>
        </w:tc>
        <w:tc>
          <w:tcPr/>
          <w:p>
            <w:pPr>
              <w:pStyle w:val="Compact"/>
            </w:pPr>
            <w:r>
              <w:rPr>
                <w:lang w:val="en"/>
              </w:rPr>
              <w:t xml:space="preserve">From</w:t>
            </w:r>
          </w:p>
        </w:tc>
        <w:tc>
          <w:tcPr/>
          <w:p>
            <w:pPr>
              <w:pStyle w:val="Compact"/>
            </w:pPr>
            <w:r>
              <w:rPr>
                <w:lang w:val="en"/>
              </w:rPr>
              <w:t xml:space="preserve">Who checks</w:t>
            </w:r>
          </w:p>
        </w:tc>
      </w:tr>
      <w:tr>
        <w:tc>
          <w:tcPr/>
          <w:p>
            <w:pPr>
              <w:pStyle w:val="Compact"/>
            </w:pPr>
            <w:r>
              <w:rPr>
                <w:lang w:val="en"/>
              </w:rPr>
              <w:t xml:space="preserve">☐</w:t>
            </w:r>
          </w:p>
        </w:tc>
        <w:tc>
          <w:tcPr/>
          <w:p>
            <w:pPr>
              <w:pStyle w:val="Compact"/>
            </w:pPr>
            <w:r>
              <w:rPr>
                <w:lang w:val="en"/>
              </w:rPr>
              <w:t xml:space="preserve">A one-page</w:t>
            </w:r>
            <w:r>
              <w:rPr>
                <w:lang w:val="en"/>
              </w:rPr>
              <w:t xml:space="preserve"> </w:t>
            </w:r>
            <w:hyperlink r:id="rId51">
              <w:r>
                <w:rPr>
                  <w:rStyle w:val="Hyperlink"/>
                  <w:lang w:val="en"/>
                </w:rPr>
                <w:t xml:space="preserve">app record</w:t>
              </w:r>
            </w:hyperlink>
          </w:p>
        </w:tc>
        <w:tc>
          <w:tcPr/>
          <w:p>
            <w:pPr>
              <w:pStyle w:val="Compact"/>
            </w:pPr>
            <w:r>
              <w:rPr>
                <w:lang w:val="en"/>
              </w:rPr>
              <w:t xml:space="preserve">Gate (Deploy: Documentation)</w:t>
            </w:r>
          </w:p>
        </w:tc>
        <w:tc>
          <w:tcPr/>
          <w:p>
            <w:pPr>
              <w:pStyle w:val="Compact"/>
            </w:pPr>
            <w:r>
              <w:rPr>
                <w:lang w:val="en"/>
              </w:rPr>
              <w:t xml:space="preserve">Team</w:t>
            </w:r>
          </w:p>
        </w:tc>
        <w:tc>
          <w:tcPr/>
          <w:p>
            <w:pPr>
              <w:pStyle w:val="Compact"/>
            </w:pPr>
            <w:r>
              <w:rPr>
                <w:lang w:val="en"/>
              </w:rPr>
              <w:t xml:space="preserve">App owner</w:t>
            </w:r>
          </w:p>
        </w:tc>
      </w:tr>
      <w:tr>
        <w:tc>
          <w:tcPr/>
          <w:p>
            <w:pPr>
              <w:pStyle w:val="Compact"/>
            </w:pPr>
            <w:r>
              <w:rPr>
                <w:lang w:val="en"/>
              </w:rPr>
              <w:t xml:space="preserve">☐</w:t>
            </w:r>
          </w:p>
        </w:tc>
        <w:tc>
          <w:tcPr/>
          <w:p>
            <w:pPr>
              <w:pStyle w:val="Compact"/>
            </w:pPr>
            <w:r>
              <w:rPr>
                <w:lang w:val="en"/>
              </w:rPr>
              <w:t xml:space="preserve">A runbook: restart, restore, roll back, who to call (</w:t>
            </w:r>
            <w:hyperlink r:id="rId52">
              <w:r>
                <w:rPr>
                  <w:rStyle w:val="Hyperlink"/>
                  <w:lang w:val="en"/>
                </w:rPr>
                <w:t xml:space="preserve">document your app</w:t>
              </w:r>
            </w:hyperlink>
            <w:r>
              <w:rPr>
                <w:lang w:val="en"/>
              </w:rPr>
              <w:t xml:space="preserve">)</w:t>
            </w:r>
          </w:p>
        </w:tc>
        <w:tc>
          <w:tcPr/>
          <w:p>
            <w:pPr>
              <w:pStyle w:val="Compact"/>
            </w:pPr>
            <w:r>
              <w:rPr>
                <w:lang w:val="en"/>
              </w:rPr>
              <w:t xml:space="preserve">Gate (Deploy: Documentation)</w:t>
            </w:r>
          </w:p>
        </w:tc>
        <w:tc>
          <w:tcPr/>
          <w:p>
            <w:pPr>
              <w:pStyle w:val="Compact"/>
            </w:pPr>
            <w:r>
              <w:rPr>
                <w:lang w:val="en"/>
              </w:rPr>
              <w:t xml:space="preserve">Important</w:t>
            </w:r>
          </w:p>
        </w:tc>
        <w:tc>
          <w:tcPr/>
          <w:p>
            <w:pPr>
              <w:pStyle w:val="Compact"/>
            </w:pPr>
            <w:r>
              <w:rPr>
                <w:lang w:val="en"/>
              </w:rPr>
              <w:t xml:space="preserve">Named backup, by running the app from it</w:t>
            </w:r>
          </w:p>
        </w:tc>
      </w:tr>
      <w:tr>
        <w:tc>
          <w:tcPr/>
          <w:p>
            <w:pPr>
              <w:pStyle w:val="Compact"/>
            </w:pPr>
            <w:r>
              <w:rPr>
                <w:lang w:val="en"/>
              </w:rPr>
              <w:t xml:space="preserve">☐</w:t>
            </w:r>
          </w:p>
        </w:tc>
        <w:tc>
          <w:tcPr/>
          <w:p>
            <w:pPr>
              <w:pStyle w:val="Compact"/>
            </w:pPr>
            <w:r>
              <w:rPr>
                <w:lang w:val="en"/>
              </w:rPr>
              <w:t xml:space="preserve">IT's standard documentation</w:t>
            </w:r>
          </w:p>
        </w:tc>
        <w:tc>
          <w:tcPr/>
          <w:p>
            <w:pPr>
              <w:pStyle w:val="Compact"/>
            </w:pPr>
            <w:r>
              <w:rPr>
                <w:lang w:val="en"/>
              </w:rPr>
              <w:t xml:space="preserve">Gate (Deploy: Documentation)</w:t>
            </w:r>
          </w:p>
        </w:tc>
        <w:tc>
          <w:tcPr/>
          <w:p>
            <w:pPr>
              <w:pStyle w:val="Compact"/>
            </w:pPr>
            <w:r>
              <w:rPr>
                <w:lang w:val="en"/>
              </w:rPr>
              <w:t xml:space="preserve">Critical</w:t>
            </w:r>
          </w:p>
        </w:tc>
        <w:tc>
          <w:tcPr/>
          <w:p>
            <w:pPr>
              <w:pStyle w:val="Compact"/>
            </w:pPr>
            <w:r>
              <w:rPr>
                <w:lang w:val="en"/>
              </w:rPr>
              <w:t xml:space="preserve">IT</w:t>
            </w:r>
          </w:p>
        </w:tc>
      </w:tr>
    </w:tbl>
    <w:bookmarkEnd w:id="53"/>
    <w:bookmarkStart w:id="55" w:name="support"/>
    <w:p>
      <w:pPr>
        <w:pStyle w:val="Heading3"/>
      </w:pPr>
      <w:r>
        <w:rPr>
          <w:lang w:val="en"/>
        </w:rPr>
        <w:t xml:space="preserve">Support</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en"/>
              </w:rPr>
              <w:t xml:space="preserve">Done</w:t>
            </w:r>
          </w:p>
        </w:tc>
        <w:tc>
          <w:tcPr/>
          <w:p>
            <w:pPr>
              <w:pStyle w:val="Compact"/>
            </w:pPr>
            <w:r>
              <w:rPr>
                <w:lang w:val="en"/>
              </w:rPr>
              <w:t xml:space="preserve">Item</w:t>
            </w:r>
          </w:p>
        </w:tc>
        <w:tc>
          <w:tcPr/>
          <w:p>
            <w:pPr>
              <w:pStyle w:val="Compact"/>
            </w:pPr>
            <w:r>
              <w:rPr>
                <w:lang w:val="en"/>
              </w:rPr>
              <w:t xml:space="preserve">Kind</w:t>
            </w:r>
          </w:p>
        </w:tc>
        <w:tc>
          <w:tcPr/>
          <w:p>
            <w:pPr>
              <w:pStyle w:val="Compact"/>
            </w:pPr>
            <w:r>
              <w:rPr>
                <w:lang w:val="en"/>
              </w:rPr>
              <w:t xml:space="preserve">From</w:t>
            </w:r>
          </w:p>
        </w:tc>
        <w:tc>
          <w:tcPr/>
          <w:p>
            <w:pPr>
              <w:pStyle w:val="Compact"/>
            </w:pPr>
            <w:r>
              <w:rPr>
                <w:lang w:val="en"/>
              </w:rPr>
              <w:t xml:space="preserve">Who checks</w:t>
            </w:r>
          </w:p>
        </w:tc>
      </w:tr>
      <w:tr>
        <w:tc>
          <w:tcPr/>
          <w:p>
            <w:pPr>
              <w:pStyle w:val="Compact"/>
            </w:pPr>
            <w:r>
              <w:rPr>
                <w:lang w:val="en"/>
              </w:rPr>
              <w:t xml:space="preserve">☐</w:t>
            </w:r>
          </w:p>
        </w:tc>
        <w:tc>
          <w:tcPr/>
          <w:p>
            <w:pPr>
              <w:pStyle w:val="Compact"/>
            </w:pPr>
            <w:r>
              <w:rPr>
                <w:lang w:val="en"/>
              </w:rPr>
              <w:t xml:space="preserve">Team-supported: the builder plus a champion; users know where to report a problem, and the report reaches a person</w:t>
            </w:r>
          </w:p>
        </w:tc>
        <w:tc>
          <w:tcPr/>
          <w:p>
            <w:pPr>
              <w:pStyle w:val="Compact"/>
            </w:pPr>
            <w:r>
              <w:rPr>
                <w:lang w:val="en"/>
              </w:rPr>
              <w:t xml:space="preserve">Gate (Operate: Support level)</w:t>
            </w:r>
          </w:p>
        </w:tc>
        <w:tc>
          <w:tcPr/>
          <w:p>
            <w:pPr>
              <w:pStyle w:val="Compact"/>
            </w:pPr>
            <w:r>
              <w:rPr>
                <w:lang w:val="en"/>
              </w:rPr>
              <w:t xml:space="preserve">Team</w:t>
            </w:r>
          </w:p>
        </w:tc>
        <w:tc>
          <w:tcPr/>
          <w:p>
            <w:pPr>
              <w:pStyle w:val="Compact"/>
            </w:pPr>
            <w:r>
              <w:rPr>
                <w:lang w:val="en"/>
              </w:rPr>
              <w:t xml:space="preserve">App owner</w:t>
            </w:r>
          </w:p>
        </w:tc>
      </w:tr>
      <w:tr>
        <w:tc>
          <w:tcPr/>
          <w:p>
            <w:pPr>
              <w:pStyle w:val="Compact"/>
            </w:pPr>
            <w:r>
              <w:rPr>
                <w:lang w:val="en"/>
              </w:rPr>
              <w:t xml:space="preserve">☐</w:t>
            </w:r>
          </w:p>
        </w:tc>
        <w:tc>
          <w:tcPr/>
          <w:p>
            <w:pPr>
              <w:pStyle w:val="Compact"/>
            </w:pPr>
            <w:r>
              <w:rPr>
                <w:lang w:val="en"/>
              </w:rPr>
              <w:t xml:space="preserve">Assisted: a named backup who has run the app, help-desk routing from the registry, and a runbook (</w:t>
            </w:r>
            <w:hyperlink r:id="rId54">
              <w:r>
                <w:rPr>
                  <w:rStyle w:val="Hyperlink"/>
                  <w:lang w:val="en"/>
                </w:rPr>
                <w:t xml:space="preserve">support model</w:t>
              </w:r>
            </w:hyperlink>
            <w:r>
              <w:rPr>
                <w:lang w:val="en"/>
              </w:rPr>
              <w:t xml:space="preserve">)</w:t>
            </w:r>
          </w:p>
        </w:tc>
        <w:tc>
          <w:tcPr/>
          <w:p>
            <w:pPr>
              <w:pStyle w:val="Compact"/>
            </w:pPr>
            <w:r>
              <w:rPr>
                <w:lang w:val="en"/>
              </w:rPr>
              <w:t xml:space="preserve">Gate (Operate: Support level)</w:t>
            </w:r>
          </w:p>
        </w:tc>
        <w:tc>
          <w:tcPr/>
          <w:p>
            <w:pPr>
              <w:pStyle w:val="Compact"/>
            </w:pPr>
            <w:r>
              <w:rPr>
                <w:lang w:val="en"/>
              </w:rPr>
              <w:t xml:space="preserve">Important</w:t>
            </w:r>
          </w:p>
        </w:tc>
        <w:tc>
          <w:tcPr/>
          <w:p>
            <w:pPr>
              <w:pStyle w:val="Compact"/>
            </w:pPr>
            <w:r>
              <w:rPr>
                <w:lang w:val="en"/>
              </w:rPr>
              <w:t xml:space="preserve">Enablement lead</w:t>
            </w:r>
          </w:p>
        </w:tc>
      </w:tr>
      <w:tr>
        <w:tc>
          <w:tcPr/>
          <w:p>
            <w:pPr>
              <w:pStyle w:val="Compact"/>
            </w:pPr>
            <w:r>
              <w:rPr>
                <w:lang w:val="en"/>
              </w:rPr>
              <w:t xml:space="preserve">☐</w:t>
            </w:r>
          </w:p>
        </w:tc>
        <w:tc>
          <w:tcPr/>
          <w:p>
            <w:pPr>
              <w:pStyle w:val="Compact"/>
            </w:pPr>
            <w:r>
              <w:rPr>
                <w:lang w:val="en"/>
              </w:rPr>
              <w:t xml:space="preserve">IT-supported at normal service levels; the help desk routes reports to IT's queue</w:t>
            </w:r>
          </w:p>
        </w:tc>
        <w:tc>
          <w:tcPr/>
          <w:p>
            <w:pPr>
              <w:pStyle w:val="Compact"/>
            </w:pPr>
            <w:r>
              <w:rPr>
                <w:lang w:val="en"/>
              </w:rPr>
              <w:t xml:space="preserve">Gate (Operate: Support level)</w:t>
            </w:r>
          </w:p>
        </w:tc>
        <w:tc>
          <w:tcPr/>
          <w:p>
            <w:pPr>
              <w:pStyle w:val="Compact"/>
            </w:pPr>
            <w:r>
              <w:rPr>
                <w:lang w:val="en"/>
              </w:rPr>
              <w:t xml:space="preserve">Critical</w:t>
            </w:r>
          </w:p>
        </w:tc>
        <w:tc>
          <w:tcPr/>
          <w:p>
            <w:pPr>
              <w:pStyle w:val="Compact"/>
            </w:pPr>
            <w:r>
              <w:rPr>
                <w:lang w:val="en"/>
              </w:rPr>
              <w:t xml:space="preserve">IT</w:t>
            </w:r>
          </w:p>
        </w:tc>
      </w:tr>
    </w:tbl>
    <w:bookmarkEnd w:id="55"/>
    <w:bookmarkStart w:id="56" w:name="rollback"/>
    <w:p>
      <w:pPr>
        <w:pStyle w:val="Heading3"/>
      </w:pPr>
      <w:r>
        <w:rPr>
          <w:lang w:val="en"/>
        </w:rPr>
        <w:t xml:space="preserve">Rollback</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en"/>
              </w:rPr>
              <w:t xml:space="preserve">Done</w:t>
            </w:r>
          </w:p>
        </w:tc>
        <w:tc>
          <w:tcPr/>
          <w:p>
            <w:pPr>
              <w:pStyle w:val="Compact"/>
            </w:pPr>
            <w:r>
              <w:rPr>
                <w:lang w:val="en"/>
              </w:rPr>
              <w:t xml:space="preserve">Item</w:t>
            </w:r>
          </w:p>
        </w:tc>
        <w:tc>
          <w:tcPr/>
          <w:p>
            <w:pPr>
              <w:pStyle w:val="Compact"/>
            </w:pPr>
            <w:r>
              <w:rPr>
                <w:lang w:val="en"/>
              </w:rPr>
              <w:t xml:space="preserve">Kind</w:t>
            </w:r>
          </w:p>
        </w:tc>
        <w:tc>
          <w:tcPr/>
          <w:p>
            <w:pPr>
              <w:pStyle w:val="Compact"/>
            </w:pPr>
            <w:r>
              <w:rPr>
                <w:lang w:val="en"/>
              </w:rPr>
              <w:t xml:space="preserve">From</w:t>
            </w:r>
          </w:p>
        </w:tc>
        <w:tc>
          <w:tcPr/>
          <w:p>
            <w:pPr>
              <w:pStyle w:val="Compact"/>
            </w:pPr>
            <w:r>
              <w:rPr>
                <w:lang w:val="en"/>
              </w:rPr>
              <w:t xml:space="preserve">Who checks</w:t>
            </w:r>
          </w:p>
        </w:tc>
      </w:tr>
      <w:tr>
        <w:tc>
          <w:tcPr/>
          <w:p>
            <w:pPr>
              <w:pStyle w:val="Compact"/>
            </w:pPr>
            <w:r>
              <w:rPr>
                <w:lang w:val="en"/>
              </w:rPr>
              <w:t xml:space="preserve">☐</w:t>
            </w:r>
          </w:p>
        </w:tc>
        <w:tc>
          <w:tcPr/>
          <w:p>
            <w:pPr>
              <w:pStyle w:val="Compact"/>
            </w:pPr>
            <w:r>
              <w:rPr>
                <w:lang w:val="en"/>
              </w:rPr>
              <w:t xml:space="preserve">Each release passes the tier's tests and review, in version history you can roll back</w:t>
            </w:r>
          </w:p>
        </w:tc>
        <w:tc>
          <w:tcPr/>
          <w:p>
            <w:pPr>
              <w:pStyle w:val="Compact"/>
            </w:pPr>
            <w:r>
              <w:rPr>
                <w:lang w:val="en"/>
              </w:rPr>
              <w:t xml:space="preserve">Gate (Change: Checks per release)</w:t>
            </w:r>
          </w:p>
        </w:tc>
        <w:tc>
          <w:tcPr/>
          <w:p>
            <w:pPr>
              <w:pStyle w:val="Compact"/>
            </w:pPr>
            <w:r>
              <w:rPr>
                <w:lang w:val="en"/>
              </w:rPr>
              <w:t xml:space="preserve">Team</w:t>
            </w:r>
          </w:p>
        </w:tc>
        <w:tc>
          <w:tcPr/>
          <w:p>
            <w:pPr>
              <w:pStyle w:val="Compact"/>
            </w:pPr>
            <w:r>
              <w:rPr>
                <w:lang w:val="en"/>
              </w:rPr>
              <w:t xml:space="preserve">Builder</w:t>
            </w:r>
          </w:p>
        </w:tc>
      </w:tr>
      <w:tr>
        <w:tc>
          <w:tcPr/>
          <w:p>
            <w:pPr>
              <w:pStyle w:val="Compact"/>
            </w:pPr>
            <w:r>
              <w:rPr>
                <w:lang w:val="en"/>
              </w:rPr>
              <w:t xml:space="preserve">☐</w:t>
            </w:r>
          </w:p>
        </w:tc>
        <w:tc>
          <w:tcPr/>
          <w:p>
            <w:pPr>
              <w:pStyle w:val="Compact"/>
            </w:pPr>
            <w:r>
              <w:rPr>
                <w:lang w:val="en"/>
              </w:rPr>
              <w:t xml:space="preserve">Releases go through IT's change process</w:t>
            </w:r>
          </w:p>
        </w:tc>
        <w:tc>
          <w:tcPr/>
          <w:p>
            <w:pPr>
              <w:pStyle w:val="Compact"/>
            </w:pPr>
            <w:r>
              <w:rPr>
                <w:lang w:val="en"/>
              </w:rPr>
              <w:t xml:space="preserve">Gate (Change: Checks per release)</w:t>
            </w:r>
          </w:p>
        </w:tc>
        <w:tc>
          <w:tcPr/>
          <w:p>
            <w:pPr>
              <w:pStyle w:val="Compact"/>
            </w:pPr>
            <w:r>
              <w:rPr>
                <w:lang w:val="en"/>
              </w:rPr>
              <w:t xml:space="preserve">Critical</w:t>
            </w:r>
          </w:p>
        </w:tc>
        <w:tc>
          <w:tcPr/>
          <w:p>
            <w:pPr>
              <w:pStyle w:val="Compact"/>
            </w:pPr>
            <w:r>
              <w:rPr>
                <w:lang w:val="en"/>
              </w:rPr>
              <w:t xml:space="preserve">IT</w:t>
            </w:r>
          </w:p>
        </w:tc>
      </w:tr>
      <w:tr>
        <w:tc>
          <w:tcPr/>
          <w:p>
            <w:pPr>
              <w:pStyle w:val="Compact"/>
            </w:pPr>
            <w:r>
              <w:rPr>
                <w:lang w:val="en"/>
              </w:rPr>
              <w:t xml:space="preserve">☐</w:t>
            </w:r>
          </w:p>
        </w:tc>
        <w:tc>
          <w:tcPr/>
          <w:p>
            <w:pPr>
              <w:pStyle w:val="Compact"/>
            </w:pPr>
            <w:r>
              <w:rPr>
                <w:lang w:val="en"/>
              </w:rPr>
              <w:t xml:space="preserve">You've rolled back once, so you know it works</w:t>
            </w:r>
          </w:p>
        </w:tc>
        <w:tc>
          <w:tcPr/>
          <w:p>
            <w:pPr>
              <w:pStyle w:val="Compact"/>
            </w:pPr>
            <w:r>
              <w:rPr>
                <w:i/>
                <w:iCs/>
                <w:lang w:val="en"/>
              </w:rPr>
              <w:t xml:space="preserve">Good practice</w:t>
            </w:r>
          </w:p>
        </w:tc>
        <w:tc>
          <w:tcPr/>
          <w:p>
            <w:pPr>
              <w:pStyle w:val="Compact"/>
            </w:pPr>
            <w:r>
              <w:rPr>
                <w:lang w:val="en"/>
              </w:rPr>
              <w:t xml:space="preserve">Team</w:t>
            </w:r>
          </w:p>
        </w:tc>
        <w:tc>
          <w:tcPr/>
          <w:p>
            <w:pPr>
              <w:pStyle w:val="Compact"/>
            </w:pPr>
            <w:r>
              <w:rPr>
                <w:lang w:val="en"/>
              </w:rPr>
              <w:t xml:space="preserve">Builder</w:t>
            </w:r>
          </w:p>
        </w:tc>
      </w:tr>
      <w:tr>
        <w:tc>
          <w:tcPr/>
          <w:p>
            <w:pPr>
              <w:pStyle w:val="Compact"/>
            </w:pPr>
            <w:r>
              <w:rPr>
                <w:lang w:val="en"/>
              </w:rPr>
              <w:t xml:space="preserve">☐</w:t>
            </w:r>
          </w:p>
        </w:tc>
        <w:tc>
          <w:tcPr/>
          <w:p>
            <w:pPr>
              <w:pStyle w:val="Compact"/>
            </w:pPr>
            <w:r>
              <w:rPr>
                <w:lang w:val="en"/>
              </w:rPr>
              <w:t xml:space="preserve">The runbook has a written rollback step, including what to do with data written since</w:t>
            </w:r>
          </w:p>
        </w:tc>
        <w:tc>
          <w:tcPr/>
          <w:p>
            <w:pPr>
              <w:pStyle w:val="Compact"/>
            </w:pPr>
            <w:r>
              <w:rPr>
                <w:i/>
                <w:iCs/>
                <w:lang w:val="en"/>
              </w:rPr>
              <w:t xml:space="preserve">Good practice</w:t>
            </w:r>
          </w:p>
        </w:tc>
        <w:tc>
          <w:tcPr/>
          <w:p>
            <w:pPr>
              <w:pStyle w:val="Compact"/>
            </w:pPr>
            <w:r>
              <w:rPr>
                <w:lang w:val="en"/>
              </w:rPr>
              <w:t xml:space="preserve">Important</w:t>
            </w:r>
          </w:p>
        </w:tc>
        <w:tc>
          <w:tcPr/>
          <w:p>
            <w:pPr>
              <w:pStyle w:val="Compact"/>
            </w:pPr>
            <w:r>
              <w:rPr>
                <w:lang w:val="en"/>
              </w:rPr>
              <w:t xml:space="preserve">App owner</w:t>
            </w:r>
          </w:p>
        </w:tc>
      </w:tr>
    </w:tbl>
    <w:bookmarkEnd w:id="56"/>
    <w:bookmarkEnd w:id="57"/>
    <w:bookmarkStart w:id="58" w:name="common-blockers-and-fixes"/>
    <w:p>
      <w:pPr>
        <w:pStyle w:val="Heading2"/>
      </w:pPr>
      <w:r>
        <w:rPr>
          <w:lang w:val="en"/>
        </w:rPr>
        <w:t xml:space="preserve">What blocks most go-lives, and how do you fix it?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en"/>
              </w:rPr>
              <w:t xml:space="preserve">Blocker</w:t>
            </w:r>
          </w:p>
        </w:tc>
        <w:tc>
          <w:tcPr/>
          <w:p>
            <w:pPr>
              <w:pStyle w:val="Compact"/>
            </w:pPr>
            <w:r>
              <w:rPr>
                <w:lang w:val="en"/>
              </w:rPr>
              <w:t xml:space="preserve">Fix</w:t>
            </w:r>
          </w:p>
        </w:tc>
      </w:tr>
      <w:tr>
        <w:tc>
          <w:tcPr/>
          <w:p>
            <w:pPr>
              <w:pStyle w:val="Compact"/>
            </w:pPr>
            <w:r>
              <w:rPr>
                <w:lang w:val="en"/>
              </w:rPr>
              <w:t xml:space="preserve">The builder can't use company sign-in</w:t>
            </w:r>
          </w:p>
        </w:tc>
        <w:tc>
          <w:tcPr/>
          <w:p>
            <w:pPr>
              <w:pStyle w:val="Compact"/>
            </w:pPr>
            <w:r>
              <w:rPr>
                <w:lang w:val="en"/>
              </w:rPr>
              <w:t xml:space="preserve">Don't go live; use a different approved tool or hosting pattern (below)</w:t>
            </w:r>
          </w:p>
        </w:tc>
      </w:tr>
      <w:tr>
        <w:tc>
          <w:tcPr/>
          <w:p>
            <w:pPr>
              <w:pStyle w:val="Compact"/>
            </w:pPr>
            <w:r>
              <w:rPr>
                <w:lang w:val="en"/>
              </w:rPr>
              <w:t xml:space="preserve">Data is readable without sign-in</w:t>
            </w:r>
          </w:p>
        </w:tc>
        <w:tc>
          <w:tcPr/>
          <w:p>
            <w:pPr>
              <w:pStyle w:val="Compact"/>
            </w:pPr>
            <w:r>
              <w:rPr>
                <w:lang w:val="en"/>
              </w:rPr>
              <w:t xml:space="preserve">Turn on deny-by-default rules, rerun the negative test, then rerun the exposure scan. A clean</w:t>
            </w:r>
            <w:r>
              <w:rPr>
                <w:lang w:val="en"/>
              </w:rPr>
              <w:t xml:space="preserve"> </w:t>
            </w:r>
            <w:r>
              <w:rPr>
                <w:i/>
                <w:iCs/>
                <w:lang w:val="en"/>
              </w:rPr>
              <w:t xml:space="preserve">passive</w:t>
            </w:r>
            <w:r>
              <w:rPr>
                <w:lang w:val="en"/>
              </w:rPr>
              <w:t xml:space="preserve"> </w:t>
            </w:r>
            <w:r>
              <w:rPr>
                <w:lang w:val="en"/>
              </w:rPr>
              <w:t xml:space="preserve">scan isn't proof: it crawls for about a minute and "doesn't perform any actual attacks",</w:t>
            </w:r>
            <w:hyperlink w:anchor="fn:zap">
              <w:r>
                <w:rPr>
                  <w:rStyle w:val="Hyperlink"/>
                  <w:vertAlign w:val="superscript"/>
                  <w:lang w:val="en"/>
                </w:rPr>
                <w:t xml:space="preserve">3</w:t>
              </w:r>
            </w:hyperlink>
            <w:r>
              <w:rPr>
                <w:lang w:val="en"/>
              </w:rPr>
              <w:t xml:space="preserve"> </w:t>
            </w:r>
            <w:r>
              <w:rPr>
                <w:lang w:val="en"/>
              </w:rPr>
              <w:t xml:space="preserve">while the largest builder exposures were found by pulling public keys from front-end code and querying the backend (AP1, AP2).</w:t>
            </w:r>
            <w:hyperlink w:anchor="fn:escapemethod">
              <w:r>
                <w:rPr>
                  <w:rStyle w:val="Hyperlink"/>
                  <w:vertAlign w:val="superscript"/>
                  <w:lang w:val="en"/>
                </w:rPr>
                <w:t xml:space="preserve">4</w:t>
              </w:r>
            </w:hyperlink>
            <w:r>
              <w:rPr>
                <w:lang w:val="en"/>
              </w:rPr>
              <w:t xml:space="preserve"> </w:t>
            </w:r>
            <w:r>
              <w:rPr>
                <w:lang w:val="en"/>
              </w:rPr>
              <w:t xml:space="preserve">Run the</w:t>
            </w:r>
            <w:r>
              <w:rPr>
                <w:lang w:val="en"/>
              </w:rPr>
              <w:t xml:space="preserve"> </w:t>
            </w:r>
            <w:hyperlink r:id="rId38">
              <w:r>
                <w:rPr>
                  <w:rStyle w:val="Hyperlink"/>
                  <w:lang w:val="en"/>
                </w:rPr>
                <w:t xml:space="preserve">active checks</w:t>
              </w:r>
            </w:hyperlink>
          </w:p>
        </w:tc>
      </w:tr>
      <w:tr>
        <w:tc>
          <w:tcPr/>
          <w:p>
            <w:pPr>
              <w:pStyle w:val="Compact"/>
            </w:pPr>
            <w:r>
              <w:rPr>
                <w:lang w:val="en"/>
              </w:rPr>
              <w:t xml:space="preserve">Keys are in front-end code</w:t>
            </w:r>
          </w:p>
        </w:tc>
        <w:tc>
          <w:tcPr/>
          <w:p>
            <w:pPr>
              <w:pStyle w:val="Compact"/>
            </w:pPr>
            <w:r>
              <w:rPr>
                <w:lang w:val="en"/>
              </w:rPr>
              <w:t xml:space="preserve">Move them server-side (a secrets manager or the platform's server-only secret store) and rotate them: exposed keys are leaked keys</w:t>
            </w:r>
          </w:p>
        </w:tc>
      </w:tr>
      <w:tr>
        <w:tc>
          <w:tcPr/>
          <w:p>
            <w:pPr>
              <w:pStyle w:val="Compact"/>
            </w:pPr>
            <w:r>
              <w:rPr>
                <w:lang w:val="en"/>
              </w:rPr>
              <w:t xml:space="preserve">Nobody else has run the app</w:t>
            </w:r>
          </w:p>
        </w:tc>
        <w:tc>
          <w:tcPr/>
          <w:p>
            <w:pPr>
              <w:pStyle w:val="Compact"/>
            </w:pPr>
            <w:r>
              <w:rPr>
                <w:lang w:val="en"/>
              </w:rPr>
              <w:t xml:space="preserve">The named backup runs it from the runbook before go-live</w:t>
            </w:r>
          </w:p>
        </w:tc>
      </w:tr>
      <w:tr>
        <w:tc>
          <w:tcPr/>
          <w:p>
            <w:pPr>
              <w:pStyle w:val="Compact"/>
            </w:pPr>
            <w:r>
              <w:rPr>
                <w:lang w:val="en"/>
              </w:rPr>
              <w:t xml:space="preserve">No restore has been tested</w:t>
            </w:r>
          </w:p>
        </w:tc>
        <w:tc>
          <w:tcPr/>
          <w:p>
            <w:pPr>
              <w:pStyle w:val="Compact"/>
            </w:pPr>
            <w:r>
              <w:rPr>
                <w:lang w:val="en"/>
              </w:rPr>
              <w:t xml:space="preserve">Restore a backup into a test copy and check the data</w:t>
            </w:r>
          </w:p>
        </w:tc>
      </w:tr>
      <w:tr>
        <w:tc>
          <w:tcPr/>
          <w:p>
            <w:pPr>
              <w:pStyle w:val="Compact"/>
            </w:pPr>
            <w:r>
              <w:rPr>
                <w:lang w:val="en"/>
              </w:rPr>
              <w:t xml:space="preserve">The accessibility check finds many issues</w:t>
            </w:r>
          </w:p>
        </w:tc>
        <w:tc>
          <w:tcPr/>
          <w:p>
            <w:pPr>
              <w:pStyle w:val="Compact"/>
            </w:pPr>
            <w:r>
              <w:rPr>
                <w:lang w:val="en"/>
              </w:rPr>
              <w:t xml:space="preserve">Fix the core task first; record the rest with dates in the app record</w:t>
            </w:r>
          </w:p>
        </w:tc>
      </w:tr>
      <w:tr>
        <w:tc>
          <w:tcPr/>
          <w:p>
            <w:pPr>
              <w:pStyle w:val="Compact"/>
            </w:pPr>
            <w:r>
              <w:rPr>
                <w:lang w:val="en"/>
              </w:rPr>
              <w:t xml:space="preserve">The technical-check wait is long</w:t>
            </w:r>
          </w:p>
        </w:tc>
        <w:tc>
          <w:tcPr/>
          <w:p>
            <w:pPr>
              <w:pStyle w:val="Compact"/>
            </w:pPr>
            <w:r>
              <w:rPr>
                <w:lang w:val="en"/>
              </w:rPr>
              <w:t xml:space="preserve">The app stays at Team scope. Escalate to the enablement lead; the target is 5 working days (A-042). An exception can change when or how a gate is met, never skip it</w:t>
            </w:r>
          </w:p>
        </w:tc>
      </w:tr>
    </w:tbl>
    <w:bookmarkEnd w:id="58"/>
    <w:bookmarkStart w:id="61" w:name="if-your-app-builder-cant-do-this"/>
    <w:p>
      <w:pPr>
        <w:pStyle w:val="Heading2"/>
      </w:pPr>
      <w:r>
        <w:rPr>
          <w:lang w:val="en"/>
        </w:rPr>
        <w:t xml:space="preserve">If your app builder can't do this</w:t>
      </w:r>
    </w:p>
    <w:p>
      <w:pPr>
        <w:pStyle w:val="FirstParagraph"/>
      </w:pPr>
      <w:r>
        <w:rPr>
          <w:lang w:val="en"/>
        </w:rPr>
        <w:t xml:space="preserve">A builder that can't keep an app private isn't approved at any tier (</w:t>
      </w:r>
      <w:hyperlink r:id="rId28">
        <w:r>
          <w:rPr>
            <w:rStyle w:val="Hyperlink"/>
            <w:lang w:val="en"/>
          </w:rPr>
          <w:t xml:space="preserve">Floor 2</w:t>
        </w:r>
      </w:hyperlink>
      <w:r>
        <w:rPr>
          <w:lang w:val="en"/>
        </w:rPr>
        <w:t xml:space="preserve">; enforced through</w:t>
      </w:r>
      <w:r>
        <w:rPr>
          <w:lang w:val="en"/>
        </w:rPr>
        <w:t xml:space="preserve"> </w:t>
      </w:r>
      <w:hyperlink r:id="rId59">
        <w:r>
          <w:rPr>
            <w:rStyle w:val="Hyperlink"/>
            <w:lang w:val="en"/>
          </w:rPr>
          <w:t xml:space="preserve">approving tools</w:t>
        </w:r>
      </w:hyperlink>
      <w:r>
        <w:rPr>
          <w:lang w:val="en"/>
        </w:rPr>
        <w:t xml:space="preserve">). Move the app or retire it. For other gaps, such as no separate test and production, no backup export or no audit log, work in this order:</w:t>
      </w:r>
    </w:p>
    <w:p>
      <w:pPr>
        <w:pStyle w:val="Compact"/>
        <w:numPr>
          <w:ilvl w:val="0"/>
          <w:numId w:val="1002"/>
        </w:numPr>
      </w:pPr>
      <w:r>
        <w:rPr>
          <w:lang w:val="en"/>
        </w:rPr>
        <w:t xml:space="preserve">Use a compensating control, such as a scheduled export to company storage, or a manual change log. It can cover a good-practice line. For a gate it can only change</w:t>
      </w:r>
      <w:r>
        <w:rPr>
          <w:lang w:val="en"/>
        </w:rPr>
        <w:t xml:space="preserve"> </w:t>
      </w:r>
      <w:r>
        <w:rPr>
          <w:i/>
          <w:iCs/>
          <w:lang w:val="en"/>
        </w:rPr>
        <w:t xml:space="preserve">how</w:t>
      </w:r>
      <w:r>
        <w:rPr>
          <w:lang w:val="en"/>
        </w:rPr>
        <w:t xml:space="preserve"> </w:t>
      </w:r>
      <w:r>
        <w:rPr>
          <w:lang w:val="en"/>
        </w:rPr>
        <w:t xml:space="preserve">the gate is met, through a</w:t>
      </w:r>
      <w:r>
        <w:rPr>
          <w:lang w:val="en"/>
        </w:rPr>
        <w:t xml:space="preserve"> </w:t>
      </w:r>
      <w:hyperlink r:id="rId23">
        <w:r>
          <w:rPr>
            <w:rStyle w:val="Hyperlink"/>
            <w:lang w:val="en"/>
          </w:rPr>
          <w:t xml:space="preserve">bounded exception</w:t>
        </w:r>
      </w:hyperlink>
      <w:r>
        <w:rPr>
          <w:lang w:val="en"/>
        </w:rPr>
        <w:t xml:space="preserve">; it never replaces the gate.</w:t>
      </w:r>
    </w:p>
    <w:p>
      <w:pPr>
        <w:pStyle w:val="Compact"/>
        <w:numPr>
          <w:ilvl w:val="0"/>
          <w:numId w:val="1002"/>
        </w:numPr>
      </w:pPr>
      <w:r>
        <w:rPr>
          <w:lang w:val="en"/>
        </w:rPr>
        <w:t xml:space="preserve">Move to another approved hosting pattern.</w:t>
      </w:r>
      <w:r>
        <w:rPr>
          <w:lang w:val="en"/>
        </w:rPr>
        <w:t xml:space="preserve"> </w:t>
      </w:r>
      <w:hyperlink r:id="rId26">
        <w:r>
          <w:rPr>
            <w:rStyle w:val="Hyperlink"/>
            <w:lang w:val="en"/>
          </w:rPr>
          <w:t xml:space="preserve">Hosting</w:t>
        </w:r>
      </w:hyperlink>
      <w:r>
        <w:rPr>
          <w:lang w:val="en"/>
        </w:rPr>
        <w:t xml:space="preserve"> </w:t>
      </w:r>
      <w:r>
        <w:rPr>
          <w:lang w:val="en"/>
        </w:rPr>
        <w:t xml:space="preserve">lists patterns that need no build pipeline, such as a low-code tenant or an internal site behind company sign-in.</w:t>
      </w:r>
    </w:p>
    <w:p>
      <w:pPr>
        <w:pStyle w:val="Compact"/>
        <w:numPr>
          <w:ilvl w:val="0"/>
          <w:numId w:val="1002"/>
        </w:numPr>
      </w:pPr>
      <w:r>
        <w:rPr>
          <w:lang w:val="en"/>
        </w:rPr>
        <w:t xml:space="preserve">Lower what the app does or holds, then re-answer the</w:t>
      </w:r>
      <w:r>
        <w:rPr>
          <w:lang w:val="en"/>
        </w:rPr>
        <w:t xml:space="preserve"> </w:t>
      </w:r>
      <w:hyperlink r:id="rId19">
        <w:r>
          <w:rPr>
            <w:rStyle w:val="Hyperlink"/>
            <w:lang w:val="en"/>
          </w:rPr>
          <w:t xml:space="preserve">six questions</w:t>
        </w:r>
      </w:hyperlink>
      <w:r>
        <w:rPr>
          <w:lang w:val="en"/>
        </w:rPr>
        <w:t xml:space="preserve">; minimization lowers the tier. If the answer stays but controls offset it, use the</w:t>
      </w:r>
      <w:r>
        <w:rPr>
          <w:lang w:val="en"/>
        </w:rPr>
        <w:t xml:space="preserve"> </w:t>
      </w:r>
      <w:hyperlink r:id="rId60">
        <w:r>
          <w:rPr>
            <w:rStyle w:val="Hyperlink"/>
            <w:lang w:val="en"/>
          </w:rPr>
          <w:t xml:space="preserve">downgrade path</w:t>
        </w:r>
      </w:hyperlink>
      <w:r>
        <w:rPr>
          <w:lang w:val="en"/>
        </w:rPr>
        <w:t xml:space="preserve">.</w:t>
      </w:r>
    </w:p>
    <w:p>
      <w:pPr>
        <w:pStyle w:val="Compact"/>
        <w:numPr>
          <w:ilvl w:val="0"/>
          <w:numId w:val="1002"/>
        </w:numPr>
      </w:pPr>
      <w:r>
        <w:rPr>
          <w:lang w:val="en"/>
        </w:rPr>
        <w:t xml:space="preserve">Don't go live at that tier. Keep the app at a tier whose gates it meets, or retire it.</w:t>
      </w:r>
    </w:p>
    <w:p>
      <w:pPr>
        <w:pStyle w:val="FirstParagraph"/>
      </w:pPr>
      <w:r>
        <w:rPr>
          <w:lang w:val="en"/>
        </w:rPr>
        <w:t xml:space="preserve">No pipeline is assumed anywhere on this page.</w:t>
      </w:r>
    </w:p>
    <w:bookmarkEnd w:id="61"/>
    <w:bookmarkStart w:id="66" w:name="accessibility"/>
    <w:p>
      <w:pPr>
        <w:pStyle w:val="Heading2"/>
      </w:pPr>
      <w:r>
        <w:rPr>
          <w:lang w:val="en"/>
        </w:rPr>
        <w:t xml:space="preserve">Accessibility</w:t>
      </w:r>
    </w:p>
    <w:p>
      <w:pPr>
        <w:pStyle w:val="FirstParagraph"/>
      </w:pPr>
      <w:r>
        <w:rPr>
          <w:lang w:val="en"/>
        </w:rPr>
        <w:t xml:space="preserve">Accessibility is a legal duty in some situations and good practice in the rest. The technical target is WCAG 2.2 level AA. As of October 2026, no law this page found names AI-built apps; what matters is who uses the app and who you are.</w:t>
      </w:r>
    </w:p>
    <w:p>
      <w:pPr>
        <w:pStyle w:val="Compact"/>
        <w:numPr>
          <w:ilvl w:val="0"/>
          <w:numId w:val="1003"/>
        </w:numPr>
      </w:pPr>
      <w:r>
        <w:rPr>
          <w:b/>
          <w:bCs/>
          <w:lang w:val="en"/>
        </w:rPr>
        <w:t xml:space="preserve">Gate, Important and Critical:</w:t>
      </w:r>
      <w:r>
        <w:rPr>
          <w:lang w:val="en"/>
        </w:rPr>
        <w:t xml:space="preserve"> </w:t>
      </w:r>
      <w:r>
        <w:rPr>
          <w:lang w:val="en"/>
        </w:rPr>
        <w:t xml:space="preserve">an accessibility check (WCAG 2.2 AA) and an AI-disclosure check if people outside the business use the app (Q2(c)) or receive messages it sends or drafts (</w:t>
      </w:r>
      <w:hyperlink r:id="rId62">
        <w:r>
          <w:rPr>
            <w:rStyle w:val="Hyperlink"/>
            <w:lang w:val="en"/>
          </w:rPr>
          <w:t xml:space="preserve">verify gates</w:t>
        </w:r>
      </w:hyperlink>
      <w:r>
        <w:rPr>
          <w:lang w:val="en"/>
        </w:rPr>
        <w:t xml:space="preserve">).</w:t>
      </w:r>
    </w:p>
    <w:p>
      <w:pPr>
        <w:pStyle w:val="Compact"/>
        <w:numPr>
          <w:ilvl w:val="0"/>
          <w:numId w:val="1003"/>
        </w:numPr>
      </w:pPr>
      <w:r>
        <w:rPr>
          <w:i/>
          <w:iCs/>
          <w:lang w:val="en"/>
        </w:rPr>
        <w:t xml:space="preserve">Good practice</w:t>
      </w:r>
      <w:r>
        <w:rPr>
          <w:lang w:val="en"/>
        </w:rPr>
        <w:t xml:space="preserve">, Important and Critical apps only staff use: WCAG 2.2 AA checks on the one to three core tasks the app exists for, end to end.</w:t>
      </w:r>
    </w:p>
    <w:p>
      <w:pPr>
        <w:pStyle w:val="Compact"/>
        <w:numPr>
          <w:ilvl w:val="0"/>
          <w:numId w:val="1003"/>
        </w:numPr>
      </w:pPr>
      <w:r>
        <w:rPr>
          <w:i/>
          <w:iCs/>
          <w:lang w:val="en"/>
        </w:rPr>
        <w:t xml:space="preserve">Good practice</w:t>
      </w:r>
      <w:r>
        <w:rPr>
          <w:lang w:val="en"/>
        </w:rPr>
        <w:t xml:space="preserve">, Team: keyboard use, form labels and contrast.</w:t>
      </w:r>
    </w:p>
    <w:p>
      <w:pPr>
        <w:pStyle w:val="FirstParagraph"/>
      </w:pPr>
      <w:r>
        <w:rPr>
          <w:lang w:val="en"/>
        </w:rPr>
        <w:t xml:space="preserve">The law can require more than the gate, such as an accommodation for an employee who must use an internal app (ADA Title I). Record what you tested, when and who did it. Don't publish a blanket claim that the app is legally accessible; tests show what you checked, not what a court would decide.</w:t>
      </w:r>
    </w:p>
    <w:bookmarkStart w:id="63" w:name="which-laws-may-apply"/>
    <w:p>
      <w:pPr>
        <w:pStyle w:val="Heading3"/>
      </w:pPr>
      <w:r>
        <w:rPr>
          <w:lang w:val="en"/>
        </w:rPr>
        <w:t xml:space="preserve">Which laws may apply?</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en"/>
              </w:rPr>
              <w:t xml:space="preserve">Situation</w:t>
            </w:r>
          </w:p>
        </w:tc>
        <w:tc>
          <w:tcPr/>
          <w:p>
            <w:pPr>
              <w:pStyle w:val="Compact"/>
            </w:pPr>
            <w:r>
              <w:rPr>
                <w:lang w:val="en"/>
              </w:rPr>
              <w:t xml:space="preserve">Law or rule</w:t>
            </w:r>
          </w:p>
        </w:tc>
        <w:tc>
          <w:tcPr/>
          <w:p>
            <w:pPr>
              <w:pStyle w:val="Compact"/>
            </w:pPr>
            <w:r>
              <w:rPr>
                <w:lang w:val="en"/>
              </w:rPr>
              <w:t xml:space="preserve">What it says</w:t>
            </w:r>
          </w:p>
        </w:tc>
        <w:tc>
          <w:tcPr/>
          <w:p>
            <w:pPr>
              <w:pStyle w:val="Compact"/>
            </w:pPr>
            <w:r>
              <w:rPr>
                <w:lang w:val="en"/>
              </w:rPr>
              <w:t xml:space="preserve">Standard</w:t>
            </w:r>
          </w:p>
        </w:tc>
      </w:tr>
      <w:tr>
        <w:tc>
          <w:tcPr/>
          <w:p>
            <w:pPr>
              <w:pStyle w:val="Compact"/>
            </w:pPr>
            <w:r>
              <w:rPr>
                <w:lang w:val="en"/>
              </w:rPr>
              <w:t xml:space="preserve">Customers or the public use the app, and your business is open to the public (US)</w:t>
            </w:r>
          </w:p>
        </w:tc>
        <w:tc>
          <w:tcPr/>
          <w:p>
            <w:pPr>
              <w:pStyle w:val="Compact"/>
            </w:pPr>
            <w:r>
              <w:rPr>
                <w:lang w:val="en"/>
              </w:rPr>
              <w:t xml:space="preserve">ADA Title III</w:t>
            </w:r>
          </w:p>
        </w:tc>
        <w:tc>
          <w:tcPr/>
          <w:p>
            <w:pPr>
              <w:pStyle w:val="Compact"/>
            </w:pPr>
            <w:r>
              <w:rPr>
                <w:lang w:val="en"/>
              </w:rPr>
              <w:t xml:space="preserve">DOJ says websites must be accessible but sets no standard by regulation.</w:t>
            </w:r>
            <w:hyperlink w:anchor="fn:adaweb">
              <w:r>
                <w:rPr>
                  <w:rStyle w:val="Hyperlink"/>
                  <w:vertAlign w:val="superscript"/>
                  <w:lang w:val="en"/>
                </w:rPr>
                <w:t xml:space="preserve">5</w:t>
              </w:r>
            </w:hyperlink>
            <w:r>
              <w:rPr>
                <w:lang w:val="en"/>
              </w:rPr>
              <w:t xml:space="preserve"> </w:t>
            </w:r>
            <w:r>
              <w:rPr>
                <w:lang w:val="en"/>
              </w:rPr>
              <w:t xml:space="preserve">The Ninth Circuit applied Title III to a website and app tied to physical restaurants, leaving sites with no such link open; circuits differ.</w:t>
            </w:r>
            <w:hyperlink w:anchor="fn:robles">
              <w:r>
                <w:rPr>
                  <w:rStyle w:val="Hyperlink"/>
                  <w:vertAlign w:val="superscript"/>
                  <w:lang w:val="en"/>
                </w:rPr>
                <w:t xml:space="preserve">6</w:t>
              </w:r>
            </w:hyperlink>
            <w:r>
              <w:rPr>
                <w:lang w:val="en"/>
              </w:rPr>
              <w:t xml:space="preserve"> </w:t>
            </w:r>
            <w:r>
              <w:rPr>
                <w:lang w:val="en"/>
              </w:rPr>
              <w:t xml:space="preserve">California's Unruh Act adds minimum damages of $4,000 per offense</w:t>
            </w:r>
            <w:hyperlink w:anchor="fn:unruh">
              <w:r>
                <w:rPr>
                  <w:rStyle w:val="Hyperlink"/>
                  <w:vertAlign w:val="superscript"/>
                  <w:lang w:val="en"/>
                </w:rPr>
                <w:t xml:space="preserve">7</w:t>
              </w:r>
            </w:hyperlink>
          </w:p>
        </w:tc>
        <w:tc>
          <w:tcPr/>
          <w:p>
            <w:pPr>
              <w:pStyle w:val="Compact"/>
            </w:pPr>
            <w:r>
              <w:rPr>
                <w:lang w:val="en"/>
              </w:rPr>
              <w:t xml:space="preserve">WCAG 2.2 AA (good practice)</w:t>
            </w:r>
          </w:p>
        </w:tc>
      </w:tr>
      <w:tr>
        <w:tc>
          <w:tcPr/>
          <w:p>
            <w:pPr>
              <w:pStyle w:val="Compact"/>
            </w:pPr>
            <w:r>
              <w:rPr>
                <w:lang w:val="en"/>
              </w:rPr>
              <w:t xml:space="preserve">Employees must use the app (US, 15 or more employees)</w:t>
            </w:r>
          </w:p>
        </w:tc>
        <w:tc>
          <w:tcPr/>
          <w:p>
            <w:pPr>
              <w:pStyle w:val="Compact"/>
            </w:pPr>
            <w:r>
              <w:rPr>
                <w:lang w:val="en"/>
              </w:rPr>
              <w:t xml:space="preserve">ADA Title I</w:t>
            </w:r>
          </w:p>
        </w:tc>
        <w:tc>
          <w:tcPr/>
          <w:p>
            <w:pPr>
              <w:pStyle w:val="Compact"/>
            </w:pPr>
            <w:r>
              <w:rPr>
                <w:lang w:val="en"/>
              </w:rPr>
              <w:t xml:space="preserve">Reasonable accommodation, and no screening-out selection criteria; no WCAG mandate for internal tools</w:t>
            </w:r>
            <w:hyperlink w:anchor="fn:title1">
              <w:r>
                <w:rPr>
                  <w:rStyle w:val="Hyperlink"/>
                  <w:vertAlign w:val="superscript"/>
                  <w:lang w:val="en"/>
                </w:rPr>
                <w:t xml:space="preserve">8</w:t>
              </w:r>
            </w:hyperlink>
          </w:p>
        </w:tc>
        <w:tc>
          <w:tcPr/>
          <w:p>
            <w:pPr>
              <w:pStyle w:val="Compact"/>
            </w:pPr>
            <w:r>
              <w:rPr>
                <w:lang w:val="en"/>
              </w:rPr>
              <w:t xml:space="preserve">WCAG 2.2 AA (good practice), plus an accommodation route</w:t>
            </w:r>
          </w:p>
        </w:tc>
      </w:tr>
      <w:tr>
        <w:tc>
          <w:tcPr/>
          <w:p>
            <w:pPr>
              <w:pStyle w:val="Compact"/>
            </w:pPr>
            <w:r>
              <w:rPr>
                <w:lang w:val="en"/>
              </w:rPr>
              <w:t xml:space="preserve">A state or local government (C2)</w:t>
            </w:r>
          </w:p>
        </w:tc>
        <w:tc>
          <w:tcPr/>
          <w:p>
            <w:pPr>
              <w:pStyle w:val="Compact"/>
            </w:pPr>
            <w:r>
              <w:rPr>
                <w:lang w:val="en"/>
              </w:rPr>
              <w:t xml:space="preserve">ADA Title II web rule</w:t>
            </w:r>
          </w:p>
        </w:tc>
        <w:tc>
          <w:tcPr/>
          <w:p>
            <w:pPr>
              <w:pStyle w:val="Compact"/>
            </w:pPr>
            <w:r>
              <w:rPr>
                <w:lang w:val="en"/>
              </w:rPr>
              <w:t xml:space="preserve">WCAG 2.1 AA from 26 Apr 2027 (population 50,000 or more) or 26 Apr 2028 (smaller entities)</w:t>
            </w:r>
            <w:hyperlink w:anchor="fn:title2">
              <w:r>
                <w:rPr>
                  <w:rStyle w:val="Hyperlink"/>
                  <w:vertAlign w:val="superscript"/>
                  <w:lang w:val="en"/>
                </w:rPr>
                <w:t xml:space="preserve">9</w:t>
              </w:r>
            </w:hyperlink>
          </w:p>
        </w:tc>
        <w:tc>
          <w:tcPr/>
          <w:p>
            <w:pPr>
              <w:pStyle w:val="Compact"/>
            </w:pPr>
            <w:r>
              <w:rPr>
                <w:lang w:val="en"/>
              </w:rPr>
              <w:t xml:space="preserve">WCAG 2.1 AA</w:t>
            </w:r>
          </w:p>
        </w:tc>
      </w:tr>
      <w:tr>
        <w:tc>
          <w:tcPr/>
          <w:p>
            <w:pPr>
              <w:pStyle w:val="Compact"/>
            </w:pPr>
            <w:r>
              <w:rPr>
                <w:lang w:val="en"/>
              </w:rPr>
              <w:t xml:space="preserve">A US federal agency, or a contractor whose contract requires it</w:t>
            </w:r>
          </w:p>
        </w:tc>
        <w:tc>
          <w:tcPr/>
          <w:p>
            <w:pPr>
              <w:pStyle w:val="Compact"/>
            </w:pPr>
            <w:r>
              <w:rPr>
                <w:lang w:val="en"/>
              </w:rPr>
              <w:t xml:space="preserve">Section 508</w:t>
            </w:r>
          </w:p>
        </w:tc>
        <w:tc>
          <w:tcPr/>
          <w:p>
            <w:pPr>
              <w:pStyle w:val="Compact"/>
            </w:pPr>
            <w:r>
              <w:rPr>
                <w:lang w:val="en"/>
              </w:rPr>
              <w:t xml:space="preserve">The Revised 508 Standards (WCAG 2.0 AA)</w:t>
            </w:r>
            <w:hyperlink w:anchor="fn:s508">
              <w:r>
                <w:rPr>
                  <w:rStyle w:val="Hyperlink"/>
                  <w:vertAlign w:val="superscript"/>
                  <w:lang w:val="en"/>
                </w:rPr>
                <w:t xml:space="preserve">10</w:t>
              </w:r>
            </w:hyperlink>
          </w:p>
        </w:tc>
        <w:tc>
          <w:tcPr/>
          <w:p>
            <w:pPr>
              <w:pStyle w:val="Compact"/>
            </w:pPr>
            <w:r>
              <w:rPr>
                <w:lang w:val="en"/>
              </w:rPr>
              <w:t xml:space="preserve">WCAG 2.0 AA</w:t>
            </w:r>
          </w:p>
        </w:tc>
      </w:tr>
      <w:tr>
        <w:tc>
          <w:tcPr/>
          <w:p>
            <w:pPr>
              <w:pStyle w:val="Compact"/>
            </w:pPr>
            <w:r>
              <w:rPr>
                <w:lang w:val="en"/>
              </w:rPr>
              <w:t xml:space="preserve">A recipient of US HHS funding (for example a hospital or clinic)</w:t>
            </w:r>
          </w:p>
        </w:tc>
        <w:tc>
          <w:tcPr/>
          <w:p>
            <w:pPr>
              <w:pStyle w:val="Compact"/>
            </w:pPr>
            <w:r>
              <w:rPr>
                <w:lang w:val="en"/>
              </w:rPr>
              <w:t xml:space="preserve">Section 504 (45 C.F.R. Part 84)</w:t>
            </w:r>
          </w:p>
        </w:tc>
        <w:tc>
          <w:tcPr/>
          <w:p>
            <w:pPr>
              <w:pStyle w:val="Compact"/>
            </w:pPr>
            <w:r>
              <w:rPr>
                <w:lang w:val="en"/>
              </w:rPr>
              <w:t xml:space="preserve">WCAG 2.1 AA from 11 May 2027 (15 or more employees) or 10 May 2028; other Section 504 duties apply now. Reach to employee-facing content is for counsel</w:t>
            </w:r>
            <w:hyperlink w:anchor="fn:s504">
              <w:r>
                <w:rPr>
                  <w:rStyle w:val="Hyperlink"/>
                  <w:vertAlign w:val="superscript"/>
                  <w:lang w:val="en"/>
                </w:rPr>
                <w:t xml:space="preserve">11</w:t>
              </w:r>
            </w:hyperlink>
          </w:p>
        </w:tc>
        <w:tc>
          <w:tcPr/>
          <w:p>
            <w:pPr>
              <w:pStyle w:val="Compact"/>
            </w:pPr>
            <w:r>
              <w:rPr>
                <w:lang w:val="en"/>
              </w:rPr>
              <w:t xml:space="preserve">WCAG 2.1 AA</w:t>
            </w:r>
          </w:p>
        </w:tc>
      </w:tr>
      <w:tr>
        <w:tc>
          <w:tcPr/>
          <w:p>
            <w:pPr>
              <w:pStyle w:val="Compact"/>
            </w:pPr>
            <w:r>
              <w:rPr>
                <w:lang w:val="en"/>
              </w:rPr>
              <w:t xml:space="preserve">A Canadian federal public-sector body, of any size</w:t>
            </w:r>
          </w:p>
        </w:tc>
        <w:tc>
          <w:tcPr/>
          <w:p>
            <w:pPr>
              <w:pStyle w:val="Compact"/>
            </w:pPr>
            <w:r>
              <w:rPr>
                <w:lang w:val="en"/>
              </w:rPr>
              <w:t xml:space="preserve">Accessible Canada Act and SOR/2025-255</w:t>
            </w:r>
          </w:p>
        </w:tc>
        <w:tc>
          <w:tcPr/>
          <w:p>
            <w:pPr>
              <w:pStyle w:val="Compact"/>
            </w:pPr>
            <w:r>
              <w:rPr>
                <w:lang w:val="en"/>
              </w:rPr>
              <w:t xml:space="preserve">New or updated web pages, including employee-facing ones, from 5 Dec 2027</w:t>
            </w:r>
            <w:hyperlink w:anchor="fn:aca">
              <w:r>
                <w:rPr>
                  <w:rStyle w:val="Hyperlink"/>
                  <w:vertAlign w:val="superscript"/>
                  <w:lang w:val="en"/>
                </w:rPr>
                <w:t xml:space="preserve">12</w:t>
              </w:r>
            </w:hyperlink>
          </w:p>
        </w:tc>
        <w:tc>
          <w:tcPr/>
          <w:p>
            <w:pPr>
              <w:pStyle w:val="Compact"/>
            </w:pPr>
            <w:r>
              <w:rPr>
                <w:lang w:val="en"/>
              </w:rPr>
              <w:t xml:space="preserve">CAN/ASC-EN 301 549:2024</w:t>
            </w:r>
          </w:p>
        </w:tc>
      </w:tr>
      <w:tr>
        <w:tc>
          <w:tcPr/>
          <w:p>
            <w:pPr>
              <w:pStyle w:val="Compact"/>
            </w:pPr>
            <w:r>
              <w:rPr>
                <w:lang w:val="en"/>
              </w:rPr>
              <w:t xml:space="preserve">A federally regulated private-sector business in Canada with 100 or more employees (99 or fewer are exempt)</w:t>
            </w:r>
          </w:p>
        </w:tc>
        <w:tc>
          <w:tcPr/>
          <w:p>
            <w:pPr>
              <w:pStyle w:val="Compact"/>
            </w:pPr>
            <w:r>
              <w:rPr>
                <w:lang w:val="en"/>
              </w:rPr>
              <w:t xml:space="preserve">Accessible Canada Act and SOR/2025-255</w:t>
            </w:r>
          </w:p>
        </w:tc>
        <w:tc>
          <w:tcPr/>
          <w:p>
            <w:pPr>
              <w:pStyle w:val="Compact"/>
            </w:pPr>
            <w:r>
              <w:rPr>
                <w:lang w:val="en"/>
              </w:rPr>
              <w:t xml:space="preserve">Public and employee-facing web pages from 5 Dec 2028, plus training for staff who build or buy digital technology; employee "collaborative digital environments" are exempt (whether a worker-built app counts is for counsel)</w:t>
            </w:r>
            <w:hyperlink w:anchor="fn:aca">
              <w:r>
                <w:rPr>
                  <w:rStyle w:val="Hyperlink"/>
                  <w:vertAlign w:val="superscript"/>
                  <w:lang w:val="en"/>
                </w:rPr>
                <w:t xml:space="preserve">12</w:t>
              </w:r>
            </w:hyperlink>
          </w:p>
        </w:tc>
        <w:tc>
          <w:tcPr/>
          <w:p>
            <w:pPr>
              <w:pStyle w:val="Compact"/>
            </w:pPr>
            <w:r>
              <w:rPr>
                <w:lang w:val="en"/>
              </w:rPr>
              <w:t xml:space="preserve">CAN/ASC-EN 301 549:2024</w:t>
            </w:r>
          </w:p>
        </w:tc>
      </w:tr>
      <w:tr>
        <w:tc>
          <w:tcPr/>
          <w:p>
            <w:pPr>
              <w:pStyle w:val="Compact"/>
            </w:pPr>
            <w:r>
              <w:rPr>
                <w:lang w:val="en"/>
              </w:rPr>
              <w:t xml:space="preserve">An Ontario business or employer</w:t>
            </w:r>
          </w:p>
        </w:tc>
        <w:tc>
          <w:tcPr/>
          <w:p>
            <w:pPr>
              <w:pStyle w:val="Compact"/>
            </w:pPr>
            <w:r>
              <w:rPr>
                <w:lang w:val="en"/>
              </w:rPr>
              <w:t xml:space="preserve">AODA (O. Reg. 191/11)</w:t>
            </w:r>
          </w:p>
        </w:tc>
        <w:tc>
          <w:tcPr/>
          <w:p>
            <w:pPr>
              <w:pStyle w:val="Compact"/>
            </w:pPr>
            <w:r>
              <w:rPr>
                <w:lang w:val="en"/>
              </w:rPr>
              <w:t xml:space="preserve">With 50 or more employees, public websites meet WCAG 2.0 AA except live captions and audio description; internal sites aren't covered. Every Ontario employer, including those with fewer than 50 employees (since 1 Jan 2017), provides job information in an accessible format on an employee's request (s. 26)</w:t>
            </w:r>
            <w:hyperlink w:anchor="fn:aoda">
              <w:r>
                <w:rPr>
                  <w:rStyle w:val="Hyperlink"/>
                  <w:vertAlign w:val="superscript"/>
                  <w:lang w:val="en"/>
                </w:rPr>
                <w:t xml:space="preserve">13</w:t>
              </w:r>
            </w:hyperlink>
            <w:hyperlink w:anchor="fn:aodasmall">
              <w:r>
                <w:rPr>
                  <w:rStyle w:val="Hyperlink"/>
                  <w:vertAlign w:val="superscript"/>
                  <w:lang w:val="en"/>
                </w:rPr>
                <w:t xml:space="preserve">14</w:t>
              </w:r>
            </w:hyperlink>
          </w:p>
        </w:tc>
        <w:tc>
          <w:tcPr/>
          <w:p>
            <w:pPr>
              <w:pStyle w:val="Compact"/>
            </w:pPr>
            <w:r>
              <w:rPr>
                <w:lang w:val="en"/>
              </w:rPr>
              <w:t xml:space="preserve">WCAG 2.0 AA (public); accessible formats on request</w:t>
            </w:r>
          </w:p>
        </w:tc>
      </w:tr>
      <w:tr>
        <w:tc>
          <w:tcPr/>
          <w:p>
            <w:pPr>
              <w:pStyle w:val="Compact"/>
            </w:pPr>
            <w:r>
              <w:rPr>
                <w:lang w:val="en"/>
              </w:rPr>
              <w:t xml:space="preserve">You sell covered consumer services into the EU</w:t>
            </w:r>
          </w:p>
        </w:tc>
        <w:tc>
          <w:tcPr/>
          <w:p>
            <w:pPr>
              <w:pStyle w:val="Compact"/>
            </w:pPr>
            <w:r>
              <w:rPr>
                <w:lang w:val="en"/>
              </w:rPr>
              <w:t xml:space="preserve">European Accessibility Act (Directive 2019/882)</w:t>
            </w:r>
          </w:p>
        </w:tc>
        <w:tc>
          <w:tcPr/>
          <w:p>
            <w:pPr>
              <w:pStyle w:val="Compact"/>
            </w:pPr>
            <w:r>
              <w:rPr>
                <w:lang w:val="en"/>
              </w:rPr>
              <w:t xml:space="preserve">Applies since 28 June 2025, with transitional rules to 2030; microenterprises providing services are exempt; transposition varies</w:t>
            </w:r>
            <w:hyperlink w:anchor="fn:eaa">
              <w:r>
                <w:rPr>
                  <w:rStyle w:val="Hyperlink"/>
                  <w:vertAlign w:val="superscript"/>
                  <w:lang w:val="en"/>
                </w:rPr>
                <w:t xml:space="preserve">15</w:t>
              </w:r>
            </w:hyperlink>
          </w:p>
        </w:tc>
        <w:tc>
          <w:tcPr/>
          <w:p>
            <w:pPr>
              <w:pStyle w:val="Compact"/>
            </w:pPr>
            <w:r>
              <w:rPr>
                <w:lang w:val="en"/>
              </w:rPr>
              <w:t xml:space="preserve">EN 301 549 / WCAG</w:t>
            </w:r>
          </w:p>
        </w:tc>
      </w:tr>
    </w:tbl>
    <w:p>
      <w:pPr>
        <w:pStyle w:val="BodyText"/>
      </w:pPr>
      <w:r>
        <w:rPr>
          <w:lang w:val="en"/>
        </w:rPr>
        <w:t xml:space="preserve">WCAG 2.2 AA generally covers 2.1 and 2.0 AA, because W3C designed 2.2 to be backward compatible,</w:t>
      </w:r>
      <w:hyperlink w:anchor="fn:wcag22">
        <w:r>
          <w:rPr>
            <w:rStyle w:val="Hyperlink"/>
            <w:vertAlign w:val="superscript"/>
            <w:lang w:val="en"/>
          </w:rPr>
          <w:t xml:space="preserve">16</w:t>
        </w:r>
      </w:hyperlink>
      <w:r>
        <w:rPr>
          <w:lang w:val="en"/>
        </w:rPr>
        <w:t xml:space="preserve"> </w:t>
      </w:r>
      <w:r>
        <w:rPr>
          <w:lang w:val="en"/>
        </w:rPr>
        <w:t xml:space="preserve">so one target works across the table.</w:t>
      </w:r>
    </w:p>
    <w:bookmarkEnd w:id="63"/>
    <w:bookmarkStart w:id="65" w:name="what-ai-app-builders-commonly-get-wrong"/>
    <w:p>
      <w:pPr>
        <w:pStyle w:val="Heading3"/>
      </w:pPr>
      <w:r>
        <w:rPr>
          <w:lang w:val="en"/>
        </w:rPr>
        <w:t xml:space="preserve">What AI app builders commonly get wrong</w:t>
      </w:r>
    </w:p>
    <w:p>
      <w:pPr>
        <w:pStyle w:val="FirstParagraph"/>
      </w:pPr>
      <w:r>
        <w:rPr>
          <w:lang w:val="en"/>
        </w:rPr>
        <w:t xml:space="preserve">No study we found scans named AI app builders' output for WCAG 2.2, so we give no rate for any builder; on the web generally, 95.9% of a million home pages had detectable failures, mostly contrast, alt text, form labels, empty links and buttons, and page language.</w:t>
      </w:r>
      <w:hyperlink w:anchor="fn:webaim">
        <w:r>
          <w:rPr>
            <w:rStyle w:val="Hyperlink"/>
            <w:vertAlign w:val="superscript"/>
            <w:lang w:val="en"/>
          </w:rPr>
          <w:t xml:space="preserve">18</w:t>
        </w:r>
      </w:hyperlink>
      <w:r>
        <w:rPr>
          <w:lang w:val="en"/>
        </w:rPr>
        <w:t xml:space="preserve"> </w:t>
      </w:r>
      <w:r>
        <w:rPr>
          <w:lang w:val="en"/>
        </w:rPr>
        <w:t xml:space="preserve">Model-generated interfaces also fail in ways automated checkers pass, such as vague labels and headings that don't match content,</w:t>
      </w:r>
      <w:hyperlink w:anchor="fn:chi">
        <w:r>
          <w:rPr>
            <w:rStyle w:val="Hyperlink"/>
            <w:vertAlign w:val="superscript"/>
            <w:lang w:val="en"/>
          </w:rPr>
          <w:t xml:space="preserve">19</w:t>
        </w:r>
      </w:hyperlink>
      <w:hyperlink w:anchor="fn:a11yn">
        <w:r>
          <w:rPr>
            <w:rStyle w:val="Hyperlink"/>
            <w:vertAlign w:val="superscript"/>
            <w:lang w:val="en"/>
          </w:rPr>
          <w:t xml:space="preserve">20</w:t>
        </w:r>
      </w:hyperlink>
      <w:r>
        <w:rPr>
          <w:lang w:val="en"/>
        </w:rPr>
        <w:t xml:space="preserve"> </w:t>
      </w:r>
      <w:r>
        <w:rPr>
          <w:lang w:val="en"/>
        </w:rPr>
        <w:t xml:space="preserve">so run an automated scan, then a manual keyboard and screen-reader pass using the</w:t>
      </w:r>
      <w:r>
        <w:rPr>
          <w:lang w:val="en"/>
        </w:rPr>
        <w:t xml:space="preserve"> </w:t>
      </w:r>
      <w:hyperlink r:id="rId64">
        <w:r>
          <w:rPr>
            <w:rStyle w:val="Hyperlink"/>
            <w:lang w:val="en"/>
          </w:rPr>
          <w:t xml:space="preserve">ten accessibility checks (CSV)</w:t>
        </w:r>
      </w:hyperlink>
      <w:r>
        <w:rPr>
          <w:lang w:val="en"/>
        </w:rPr>
        <w:t xml:space="preserve">, which include the four new WCAG 2.2 AA criteria.</w:t>
      </w:r>
      <w:hyperlink w:anchor="fn:new22">
        <w:r>
          <w:rPr>
            <w:rStyle w:val="Hyperlink"/>
            <w:vertAlign w:val="superscript"/>
            <w:lang w:val="en"/>
          </w:rPr>
          <w:t xml:space="preserve">17</w:t>
        </w:r>
      </w:hyperlink>
    </w:p>
    <w:p>
      <w:pPr>
        <w:pStyle w:val="BodyText"/>
      </w:pPr>
      <w:r>
        <w:rPr>
          <w:b/>
          <w:bCs/>
          <w:lang w:val="en"/>
        </w:rPr>
        <w:t xml:space="preserve">Don't: publish an accessibility claim nobody tested</w:t>
      </w:r>
    </w:p>
    <w:p>
      <w:pPr>
        <w:pStyle w:val="BodyText"/>
      </w:pPr>
      <w:r>
        <w:rPr>
          <w:lang w:val="en"/>
        </w:rPr>
        <w:t xml:space="preserve">A statement or badge that says the app is accessible, with no test behind it, is a risk on its own. Record the checks you ran.</w:t>
      </w:r>
    </w:p>
    <w:bookmarkEnd w:id="65"/>
    <w:bookmarkEnd w:id="66"/>
    <w:bookmarkStart w:id="68" w:name="go-live-sign-off"/>
    <w:p>
      <w:pPr>
        <w:pStyle w:val="Heading2"/>
      </w:pPr>
      <w:r>
        <w:rPr>
          <w:lang w:val="en"/>
        </w:rPr>
        <w:t xml:space="preserve">Go-live sign-off</w:t>
      </w:r>
    </w:p>
    <w:p>
      <w:pPr>
        <w:pStyle w:val="FirstParagraph"/>
      </w:pPr>
      <w:r>
        <w:rPr>
          <w:lang w:val="en"/>
        </w:rPr>
        <w:t xml:space="preserve">Each line is ticked by the person in its "Who checks" column. The app owner then confirms the checklist, and from Important the technical reviewer signs the technical check. The registry</w:t>
      </w:r>
      <w:r>
        <w:rPr>
          <w:lang w:val="en"/>
        </w:rPr>
        <w:t xml:space="preserve"> </w:t>
      </w:r>
      <w:r>
        <w:rPr>
          <w:rStyle w:val="VerbatimChar"/>
          <w:lang w:val="en"/>
        </w:rPr>
        <w:t xml:space="preserve">status</w:t>
      </w:r>
      <w:r>
        <w:rPr>
          <w:lang w:val="en"/>
        </w:rPr>
        <w:t xml:space="preserve"> </w:t>
      </w:r>
      <w:r>
        <w:rPr>
          <w:lang w:val="en"/>
        </w:rPr>
        <w:t xml:space="preserve">moves to</w:t>
      </w:r>
      <w:r>
        <w:rPr>
          <w:lang w:val="en"/>
        </w:rPr>
        <w:t xml:space="preserve"> </w:t>
      </w:r>
      <w:r>
        <w:rPr>
          <w:rStyle w:val="VerbatimChar"/>
          <w:lang w:val="en"/>
        </w:rPr>
        <w:t xml:space="preserve">active</w:t>
      </w:r>
      <w:r>
        <w:rPr>
          <w:lang w:val="en"/>
        </w:rPr>
        <w:t xml:space="preserve">. Record it once per app with the</w:t>
      </w:r>
      <w:r>
        <w:rPr>
          <w:lang w:val="en"/>
        </w:rPr>
        <w:t xml:space="preserve"> </w:t>
      </w:r>
      <w:hyperlink r:id="rId67">
        <w:r>
          <w:rPr>
            <w:rStyle w:val="Hyperlink"/>
            <w:lang w:val="en"/>
          </w:rPr>
          <w:t xml:space="preserve">decision record template</w:t>
        </w:r>
      </w:hyperlink>
      <w:r>
        <w:rPr>
          <w:lang w:val="en"/>
        </w:rPr>
        <w:t xml:space="preserve">.</w:t>
      </w:r>
    </w:p>
    <w:p>
      <w:pPr>
        <w:pStyle w:val="BodyText"/>
      </w:pPr>
      <w:r>
        <w:rPr>
          <w:b/>
          <w:bCs/>
          <w:lang w:val="en"/>
        </w:rPr>
        <w:t xml:space="preserve">Illustrative composite</w:t>
      </w:r>
    </w:p>
    <w:p>
      <w:pPr>
        <w:pStyle w:val="BodyText"/>
      </w:pPr>
      <w:r>
        <w:rPr>
          <w:b/>
          <w:bCs/>
          <w:lang w:val="en"/>
        </w:rPr>
        <w:t xml:space="preserve">Title:</w:t>
      </w:r>
      <w:r>
        <w:rPr>
          <w:lang w:val="en"/>
        </w:rPr>
        <w:t xml:space="preserve"> </w:t>
      </w:r>
      <w:r>
        <w:rPr>
          <w:lang w:val="en"/>
        </w:rPr>
        <w:t xml:space="preserve">Take the leave-request tracker live ·</w:t>
      </w:r>
      <w:r>
        <w:rPr>
          <w:lang w:val="en"/>
        </w:rPr>
        <w:t xml:space="preserve"> </w:t>
      </w:r>
      <w:r>
        <w:rPr>
          <w:b/>
          <w:bCs/>
          <w:lang w:val="en"/>
        </w:rPr>
        <w:t xml:space="preserve">Status:</w:t>
      </w:r>
      <w:r>
        <w:rPr>
          <w:lang w:val="en"/>
        </w:rPr>
        <w:t xml:space="preserve"> </w:t>
      </w:r>
      <w:r>
        <w:rPr>
          <w:lang w:val="en"/>
        </w:rPr>
        <w:t xml:space="preserve">accepted ·</w:t>
      </w:r>
      <w:r>
        <w:rPr>
          <w:lang w:val="en"/>
        </w:rPr>
        <w:t xml:space="preserve"> </w:t>
      </w:r>
      <w:r>
        <w:rPr>
          <w:b/>
          <w:bCs/>
          <w:lang w:val="en"/>
        </w:rPr>
        <w:t xml:space="preserve">Date:</w:t>
      </w:r>
      <w:r>
        <w:rPr>
          <w:lang w:val="en"/>
        </w:rPr>
        <w:t xml:space="preserve"> </w:t>
      </w:r>
      <w:r>
        <w:rPr>
          <w:lang w:val="en"/>
        </w:rPr>
        <w:t xml:space="preserve">YYYY-MM-DD ·</w:t>
      </w:r>
      <w:r>
        <w:rPr>
          <w:lang w:val="en"/>
        </w:rPr>
        <w:t xml:space="preserve"> </w:t>
      </w:r>
      <w:r>
        <w:rPr>
          <w:b/>
          <w:bCs/>
          <w:lang w:val="en"/>
        </w:rPr>
        <w:t xml:space="preserve">Owner:</w:t>
      </w:r>
      <w:r>
        <w:rPr>
          <w:lang w:val="en"/>
        </w:rPr>
        <w:t xml:space="preserve"> </w:t>
      </w:r>
      <w:r>
        <w:rPr>
          <w:lang w:val="en"/>
        </w:rPr>
        <w:t xml:space="preserve">the HR operations lead (app owner) ·</w:t>
      </w:r>
      <w:r>
        <w:rPr>
          <w:lang w:val="en"/>
        </w:rPr>
        <w:t xml:space="preserve"> </w:t>
      </w:r>
      <w:r>
        <w:rPr>
          <w:b/>
          <w:bCs/>
          <w:lang w:val="en"/>
        </w:rPr>
        <w:t xml:space="preserve">Reviewers:</w:t>
      </w:r>
      <w:r>
        <w:rPr>
          <w:lang w:val="en"/>
        </w:rPr>
        <w:t xml:space="preserve"> </w:t>
      </w:r>
      <w:r>
        <w:rPr>
          <w:lang w:val="en"/>
        </w:rPr>
        <w:t xml:space="preserve">a technical reviewer; the enablement lead (exception approver)</w:t>
      </w:r>
    </w:p>
    <w:p>
      <w:pPr>
        <w:pStyle w:val="BodyText"/>
      </w:pPr>
      <w:r>
        <w:rPr>
          <w:b/>
          <w:bCs/>
          <w:lang w:val="en"/>
        </w:rPr>
        <w:t xml:space="preserve">Context.</w:t>
      </w:r>
      <w:r>
        <w:rPr>
          <w:lang w:val="en"/>
        </w:rPr>
        <w:t xml:space="preserve"> </w:t>
      </w:r>
      <w:r>
        <w:rPr>
          <w:lang w:val="en"/>
        </w:rPr>
        <w:t xml:space="preserve">A tracker holding leave reasons moves to company-wide use. Tier: Important, from Q1(c). Only staff use it, so the accessibility and AI-disclosure gate doesn't apply.</w:t>
      </w:r>
    </w:p>
    <w:p>
      <w:pPr>
        <w:pStyle w:val="BodyText"/>
      </w:pPr>
      <w:r>
        <w:rPr>
          <w:b/>
          <w:bCs/>
          <w:lang w:val="en"/>
        </w:rPr>
        <w:t xml:space="preserve">Decision.</w:t>
      </w:r>
      <w:r>
        <w:rPr>
          <w:lang w:val="en"/>
        </w:rPr>
        <w:t xml:space="preserve"> </w:t>
      </w:r>
      <w:r>
        <w:rPr>
          <w:lang w:val="en"/>
        </w:rPr>
        <w:t xml:space="preserve">Go live with every Important gate met except one, under a bounded exception the enablement lead approved: the runbook's restore and rollback sections are due in 30 days, because the named backup is running the restore test first and version history covers rollback meanwhile. The data owner signed off first; that can't be excepted. A deferred screen-reader pass is a good-practice line, so it gets a dated note, not an exception.</w:t>
      </w:r>
    </w:p>
    <w:p>
      <w:pPr>
        <w:pStyle w:val="BodyText"/>
      </w:pPr>
      <w:r>
        <w:rPr>
          <w:b/>
          <w:bCs/>
          <w:lang w:val="en"/>
        </w:rPr>
        <w:t xml:space="preserve">Alternatives considered.</w:t>
      </w:r>
      <w:r>
        <w:rPr>
          <w:lang w:val="en"/>
        </w:rPr>
        <w:t xml:space="preserve"> </w:t>
      </w:r>
      <w:r>
        <w:rPr>
          <w:lang w:val="en"/>
        </w:rPr>
        <w:t xml:space="preserve">Delay go-live (rejected: rollback is covered). Go live before the technical check (not allowed).</w:t>
      </w:r>
    </w:p>
    <w:p>
      <w:pPr>
        <w:pStyle w:val="BodyText"/>
      </w:pPr>
      <w:r>
        <w:rPr>
          <w:b/>
          <w:bCs/>
          <w:lang w:val="en"/>
        </w:rPr>
        <w:t xml:space="preserve">Review by:</w:t>
      </w:r>
      <w:r>
        <w:rPr>
          <w:lang w:val="en"/>
        </w:rPr>
        <w:t xml:space="preserve"> </w:t>
      </w:r>
      <w:r>
        <w:rPr>
          <w:lang w:val="en"/>
        </w:rPr>
        <w:t xml:space="preserve">the exception's expiry, 30 days from the date above.</w:t>
      </w:r>
    </w:p>
    <w:bookmarkEnd w:id="68"/>
    <w:bookmarkStart w:id="69" w:name="questions-to-ask-your-counsel"/>
    <w:p>
      <w:pPr>
        <w:pStyle w:val="Heading2"/>
      </w:pPr>
      <w:r>
        <w:rPr>
          <w:lang w:val="en"/>
        </w:rPr>
        <w:t xml:space="preserve">Questions to ask your counsel</w:t>
      </w:r>
    </w:p>
    <w:p>
      <w:pPr>
        <w:pStyle w:val="Compact"/>
        <w:numPr>
          <w:ilvl w:val="0"/>
          <w:numId w:val="1004"/>
        </w:numPr>
      </w:pPr>
      <w:r>
        <w:rPr>
          <w:lang w:val="en"/>
        </w:rPr>
        <w:t xml:space="preserve">Which accessibility laws apply to the apps our staff and customers must use?</w:t>
      </w:r>
    </w:p>
    <w:p>
      <w:pPr>
        <w:pStyle w:val="Compact"/>
        <w:numPr>
          <w:ilvl w:val="0"/>
          <w:numId w:val="1004"/>
        </w:numPr>
      </w:pPr>
      <w:r>
        <w:rPr>
          <w:lang w:val="en"/>
        </w:rPr>
        <w:t xml:space="preserve">Does any contract require Section 508 or WCAG conformance, and for which apps?</w:t>
      </w:r>
    </w:p>
    <w:p>
      <w:pPr>
        <w:pStyle w:val="Compact"/>
        <w:numPr>
          <w:ilvl w:val="0"/>
          <w:numId w:val="1004"/>
        </w:numPr>
      </w:pPr>
      <w:r>
        <w:rPr>
          <w:lang w:val="en"/>
        </w:rPr>
        <w:t xml:space="preserve">Does ADA Title III, or a state law such as California's Unruh Act, put our customer-facing apps at risk, including apps with no link to a physical location?</w:t>
      </w:r>
    </w:p>
    <w:p>
      <w:pPr>
        <w:pStyle w:val="Compact"/>
        <w:numPr>
          <w:ilvl w:val="0"/>
          <w:numId w:val="1004"/>
        </w:numPr>
      </w:pPr>
      <w:r>
        <w:rPr>
          <w:lang w:val="en"/>
        </w:rPr>
        <w:t xml:space="preserve">What accommodation process do we have for employees with disabilities who must use a worker-built app, and where does the app record name it?</w:t>
      </w:r>
    </w:p>
    <w:p>
      <w:pPr>
        <w:pStyle w:val="Compact"/>
        <w:numPr>
          <w:ilvl w:val="0"/>
          <w:numId w:val="1004"/>
        </w:numPr>
      </w:pPr>
      <w:r>
        <w:rPr>
          <w:lang w:val="en"/>
        </w:rPr>
        <w:t xml:space="preserve">Does the HHS Section 504 web rule reach our employee-facing apps, and which other Section 504 duties apply now?</w:t>
      </w:r>
    </w:p>
    <w:p>
      <w:pPr>
        <w:pStyle w:val="Compact"/>
        <w:numPr>
          <w:ilvl w:val="0"/>
          <w:numId w:val="1004"/>
        </w:numPr>
      </w:pPr>
      <w:r>
        <w:rPr>
          <w:lang w:val="en"/>
        </w:rPr>
        <w:t xml:space="preserve">Are we federally regulated under the Accessible Canada Act, from which date, and does the "collaborative digital environment" exemption cover any of our apps?</w:t>
      </w:r>
    </w:p>
    <w:p>
      <w:pPr>
        <w:pStyle w:val="Compact"/>
        <w:numPr>
          <w:ilvl w:val="0"/>
          <w:numId w:val="1004"/>
        </w:numPr>
      </w:pPr>
      <w:r>
        <w:rPr>
          <w:lang w:val="en"/>
        </w:rPr>
        <w:t xml:space="preserve">How do we meet Ontario's duty to give employees job information in an accessible format on request?</w:t>
      </w:r>
    </w:p>
    <w:p>
      <w:pPr>
        <w:pStyle w:val="Compact"/>
        <w:numPr>
          <w:ilvl w:val="0"/>
          <w:numId w:val="1004"/>
        </w:numPr>
      </w:pPr>
      <w:r>
        <w:rPr>
          <w:lang w:val="en"/>
        </w:rPr>
        <w:t xml:space="preserve">If we sell to consumers in the EU, does the European Accessibility Act apply, or are we a microenterprise?</w:t>
      </w:r>
    </w:p>
    <w:p>
      <w:pPr>
        <w:pStyle w:val="Compact"/>
        <w:numPr>
          <w:ilvl w:val="0"/>
          <w:numId w:val="1004"/>
        </w:numPr>
      </w:pPr>
      <w:r>
        <w:rPr>
          <w:lang w:val="en"/>
        </w:rPr>
        <w:t xml:space="preserve">What should we say, and not say, about an app's accessibility or use of AI on a public page or in a contract?</w:t>
      </w:r>
    </w:p>
    <w:bookmarkEnd w:id="69"/>
    <w:bookmarkStart w:id="70" w:name="assumptions-and-evidence"/>
    <w:p>
      <w:pPr>
        <w:pStyle w:val="Heading2"/>
      </w:pPr>
      <w:r>
        <w:rPr>
          <w:lang w:val="en"/>
        </w:rPr>
        <w:t xml:space="preserve">Assumptions and evidence</w:t>
      </w:r>
    </w:p>
    <w:p>
      <w:pPr>
        <w:pStyle w:val="Compact"/>
        <w:numPr>
          <w:ilvl w:val="0"/>
          <w:numId w:val="1005"/>
        </w:numPr>
      </w:pPr>
      <w:r>
        <w:rPr>
          <w:b/>
          <w:bCs/>
          <w:lang w:val="en"/>
        </w:rPr>
        <w:t xml:space="preserve">A-015</w:t>
      </w:r>
      <w:r>
        <w:rPr>
          <w:lang w:val="en"/>
        </w:rPr>
        <w:t xml:space="preserve"> </w:t>
      </w:r>
      <w:r>
        <w:rPr>
          <w:lang w:val="en"/>
        </w:rPr>
        <w:t xml:space="preserve">(Medium): we expect most exposures of worker-built apps to be configuration errors that the checklist catches; test this by tracking what the pre-launch exposure scan finds.</w:t>
      </w:r>
    </w:p>
    <w:p>
      <w:pPr>
        <w:pStyle w:val="Compact"/>
        <w:numPr>
          <w:ilvl w:val="0"/>
          <w:numId w:val="1005"/>
        </w:numPr>
      </w:pPr>
      <w:r>
        <w:rPr>
          <w:b/>
          <w:bCs/>
          <w:lang w:val="en"/>
        </w:rPr>
        <w:t xml:space="preserve">A-014</w:t>
      </w:r>
      <w:r>
        <w:rPr>
          <w:lang w:val="en"/>
        </w:rPr>
        <w:t xml:space="preserve"> </w:t>
      </w:r>
      <w:r>
        <w:rPr>
          <w:lang w:val="en"/>
        </w:rPr>
        <w:t xml:space="preserve">(High): we expect AI-builder apps without platform defaults to expose data; test this by counting negative-test failures at go-live.</w:t>
      </w:r>
    </w:p>
    <w:p>
      <w:pPr>
        <w:pStyle w:val="Compact"/>
        <w:numPr>
          <w:ilvl w:val="0"/>
          <w:numId w:val="1005"/>
        </w:numPr>
      </w:pPr>
      <w:r>
        <w:rPr>
          <w:b/>
          <w:bCs/>
          <w:lang w:val="en"/>
        </w:rPr>
        <w:t xml:space="preserve">A-042</w:t>
      </w:r>
      <w:r>
        <w:rPr>
          <w:lang w:val="en"/>
        </w:rPr>
        <w:t xml:space="preserve"> </w:t>
      </w:r>
      <w:r>
        <w:rPr>
          <w:lang w:val="en"/>
        </w:rPr>
        <w:t xml:space="preserve">(Low): we expect technical-check capacity to keep up with Important apps; test this by measuring the median wait against five working days.</w:t>
      </w:r>
    </w:p>
    <w:p>
      <w:pPr>
        <w:pStyle w:val="FirstParagraph"/>
      </w:pPr>
      <w:r>
        <w:rPr>
          <w:lang w:val="en"/>
        </w:rPr>
        <w:t xml:space="preserve">Evidence: documented exposure incidents (vendor and news research), scanner documentation, government rules, statutes and one court opinion, one peer-reviewed accessibility study, and a large automated web scan. There is no controlled study of go-live checklists for worker-built apps. Facts on this page are as of October 2026.</w:t>
      </w:r>
    </w:p>
    <w:bookmarkEnd w:id="70"/>
    <w:bookmarkStart w:id="115" w:name="related"/>
    <w:p>
      <w:pPr>
        <w:pStyle w:val="Heading2"/>
      </w:pPr>
      <w:r>
        <w:rPr>
          <w:lang w:val="en"/>
        </w:rPr>
        <w:t xml:space="preserve">Related</w:t>
      </w:r>
    </w:p>
    <w:p>
      <w:pPr>
        <w:pStyle w:val="Compact"/>
        <w:numPr>
          <w:ilvl w:val="0"/>
          <w:numId w:val="1006"/>
        </w:numPr>
      </w:pPr>
      <w:hyperlink r:id="rId71">
        <w:r>
          <w:rPr>
            <w:rStyle w:val="Hyperlink"/>
            <w:lang w:val="en"/>
          </w:rPr>
          <w:t xml:space="preserve">Check an AI-built app before release</w:t>
        </w:r>
      </w:hyperlink>
      <w:r>
        <w:rPr>
          <w:lang w:val="en"/>
        </w:rPr>
        <w:t xml:space="preserve">: the V.E.R.I.F.Y. self-check and the reviews behind the checklist.</w:t>
      </w:r>
    </w:p>
    <w:p>
      <w:pPr>
        <w:pStyle w:val="Compact"/>
        <w:numPr>
          <w:ilvl w:val="0"/>
          <w:numId w:val="1006"/>
        </w:numPr>
      </w:pPr>
      <w:hyperlink r:id="rId72">
        <w:r>
          <w:rPr>
            <w:rStyle w:val="Hyperlink"/>
            <w:lang w:val="en"/>
          </w:rPr>
          <w:t xml:space="preserve">Security checklist for AI-built apps</w:t>
        </w:r>
      </w:hyperlink>
      <w:r>
        <w:rPr>
          <w:lang w:val="en"/>
        </w:rPr>
        <w:t xml:space="preserve">: how to check the access, data, secrets and input lines.</w:t>
      </w:r>
    </w:p>
    <w:p>
      <w:pPr>
        <w:pStyle w:val="Compact"/>
        <w:numPr>
          <w:ilvl w:val="0"/>
          <w:numId w:val="1006"/>
        </w:numPr>
      </w:pPr>
      <w:hyperlink r:id="rId73">
        <w:r>
          <w:rPr>
            <w:rStyle w:val="Hyperlink"/>
            <w:lang w:val="en"/>
          </w:rPr>
          <w:t xml:space="preserve">Stop vibe-coded apps exposing data</w:t>
        </w:r>
      </w:hyperlink>
      <w:r>
        <w:rPr>
          <w:lang w:val="en"/>
        </w:rPr>
        <w:t xml:space="preserve">: the negative test and the no-developer tests.</w:t>
      </w:r>
    </w:p>
    <w:p>
      <w:pPr>
        <w:pStyle w:val="Compact"/>
        <w:numPr>
          <w:ilvl w:val="0"/>
          <w:numId w:val="1006"/>
        </w:numPr>
      </w:pPr>
      <w:hyperlink r:id="rId26">
        <w:r>
          <w:rPr>
            <w:rStyle w:val="Hyperlink"/>
            <w:lang w:val="en"/>
          </w:rPr>
          <w:t xml:space="preserve">Where to host worker-built apps</w:t>
        </w:r>
      </w:hyperlink>
      <w:r>
        <w:rPr>
          <w:lang w:val="en"/>
        </w:rPr>
        <w:t xml:space="preserve">: approved hosting for each app.</w:t>
      </w:r>
    </w:p>
    <w:p>
      <w:pPr>
        <w:pStyle w:val="Compact"/>
        <w:numPr>
          <w:ilvl w:val="0"/>
          <w:numId w:val="1006"/>
        </w:numPr>
      </w:pPr>
      <w:hyperlink r:id="rId52">
        <w:r>
          <w:rPr>
            <w:rStyle w:val="Hyperlink"/>
            <w:lang w:val="en"/>
          </w:rPr>
          <w:t xml:space="preserve">Document your app</w:t>
        </w:r>
      </w:hyperlink>
      <w:r>
        <w:rPr>
          <w:lang w:val="en"/>
        </w:rPr>
        <w:t xml:space="preserve">: the app record and runbook.</w:t>
      </w:r>
    </w:p>
    <w:p>
      <w:pPr>
        <w:pStyle w:val="Compact"/>
        <w:numPr>
          <w:ilvl w:val="0"/>
          <w:numId w:val="1006"/>
        </w:numPr>
      </w:pPr>
      <w:hyperlink r:id="rId54">
        <w:r>
          <w:rPr>
            <w:rStyle w:val="Hyperlink"/>
            <w:lang w:val="en"/>
          </w:rPr>
          <w:t xml:space="preserve">Support model for worker-built apps</w:t>
        </w:r>
      </w:hyperlink>
      <w:r>
        <w:rPr>
          <w:lang w:val="en"/>
        </w:rPr>
        <w:t xml:space="preserve">: who fixes what after go-live.</w:t>
      </w:r>
    </w:p>
    <w:p>
      <w:r>
        <w:pict>
          <v:rect style="width:0;height:1.5pt" o:hralign="center" o:hrstd="t" o:hr="t"/>
        </w:pict>
      </w:r>
    </w:p>
    <w:bookmarkStart w:id="75" w:name="fn:upguard"/>
    <w:p>
      <w:pPr>
        <w:numPr>
          <w:ilvl w:val="0"/>
          <w:numId w:val="1007"/>
        </w:numPr>
      </w:pPr>
      <w:r>
        <w:rPr>
          <w:lang w:val="en"/>
        </w:rPr>
        <w:t xml:space="preserve">UpGuard, research on Power Apps portals exposing about 38 million records to anonymous users; the vendor first called it "by design", 23 Aug 2021.</w:t>
      </w:r>
      <w:r>
        <w:rPr>
          <w:lang w:val="en"/>
        </w:rPr>
        <w:t xml:space="preserve"> </w:t>
      </w:r>
      <w:hyperlink r:id="rId74">
        <w:r>
          <w:rPr>
            <w:rStyle w:val="Hyperlink"/>
            <w:lang w:val="en"/>
          </w:rPr>
          <w:t xml:space="preserve">https://upguard.com/breaches/power-apps</w:t>
        </w:r>
      </w:hyperlink>
      <w:r>
        <w:rPr>
          <w:lang w:val="en"/>
        </w:rPr>
        <w:t xml:space="preserve"> </w:t>
      </w:r>
      <w:r>
        <w:rPr>
          <w:lang w:val="en"/>
        </w:rPr>
        <w:t xml:space="preserve">[vendor], accessed 2026-10-21.</w:t>
      </w:r>
    </w:p>
    <w:bookmarkEnd w:id="75"/>
    <w:bookmarkStart w:id="77" w:name="fn:cve"/>
    <w:p>
      <w:pPr>
        <w:numPr>
          <w:ilvl w:val="0"/>
          <w:numId w:val="1007"/>
        </w:numPr>
      </w:pPr>
      <w:r>
        <w:rPr>
          <w:lang w:val="en"/>
        </w:rPr>
        <w:t xml:space="preserve">NIST NVD, CVE-2025-48757 (insufficient row-level security in Lovable-generated projects; the entry notes the vendor disputes it and says customers are responsible), published 30 May 2025.</w:t>
      </w:r>
      <w:r>
        <w:rPr>
          <w:lang w:val="en"/>
        </w:rPr>
        <w:t xml:space="preserve"> </w:t>
      </w:r>
      <w:hyperlink r:id="rId76">
        <w:r>
          <w:rPr>
            <w:rStyle w:val="Hyperlink"/>
            <w:lang w:val="en"/>
          </w:rPr>
          <w:t xml:space="preserve">https://nvd.nist.gov/vuln/detail/CVE-2025-48757</w:t>
        </w:r>
      </w:hyperlink>
      <w:r>
        <w:rPr>
          <w:lang w:val="en"/>
        </w:rPr>
        <w:t xml:space="preserve"> </w:t>
      </w:r>
      <w:r>
        <w:rPr>
          <w:lang w:val="en"/>
        </w:rPr>
        <w:t xml:space="preserve">[primary], accessed 2026-10-21.</w:t>
      </w:r>
    </w:p>
    <w:bookmarkEnd w:id="77"/>
    <w:bookmarkStart w:id="79" w:name="fn:zap"/>
    <w:p>
      <w:pPr>
        <w:numPr>
          <w:ilvl w:val="0"/>
          <w:numId w:val="1007"/>
        </w:numPr>
      </w:pPr>
      <w:r>
        <w:rPr>
          <w:lang w:val="en"/>
        </w:rPr>
        <w:t xml:space="preserve">OWASP ZAP, "ZAP - Baseline Scan" (one-minute spider by default, then passive scanning only).</w:t>
      </w:r>
      <w:r>
        <w:rPr>
          <w:lang w:val="en"/>
        </w:rPr>
        <w:t xml:space="preserve"> </w:t>
      </w:r>
      <w:hyperlink r:id="rId78">
        <w:r>
          <w:rPr>
            <w:rStyle w:val="Hyperlink"/>
            <w:lang w:val="en"/>
          </w:rPr>
          <w:t xml:space="preserve">https://www.zaproxy.org/docs/docker/baseline-scan/</w:t>
        </w:r>
      </w:hyperlink>
      <w:r>
        <w:rPr>
          <w:lang w:val="en"/>
        </w:rPr>
        <w:t xml:space="preserve"> </w:t>
      </w:r>
      <w:r>
        <w:rPr>
          <w:lang w:val="en"/>
        </w:rPr>
        <w:t xml:space="preserve">[primary], accessed 2026-10-21.</w:t>
      </w:r>
    </w:p>
    <w:bookmarkEnd w:id="79"/>
    <w:bookmarkStart w:id="81" w:name="fn:escapemethod"/>
    <w:p>
      <w:pPr>
        <w:numPr>
          <w:ilvl w:val="0"/>
          <w:numId w:val="1007"/>
        </w:numPr>
      </w:pPr>
      <w:r>
        <w:rPr>
          <w:lang w:val="en"/>
        </w:rPr>
        <w:t xml:space="preserve">Escape.tech, methodology post on how it found vulnerabilities in apps built with vibe-coding platforms, 29 Oct 2025 (anonymous keys found in front-end bundles, then the backend APIs queried).</w:t>
      </w:r>
      <w:r>
        <w:rPr>
          <w:lang w:val="en"/>
        </w:rPr>
        <w:t xml:space="preserve"> </w:t>
      </w:r>
      <w:hyperlink r:id="rId80">
        <w:r>
          <w:rPr>
            <w:rStyle w:val="Hyperlink"/>
            <w:lang w:val="en"/>
          </w:rPr>
          <w:t xml:space="preserve">https://escape.tech/blog/methodology-how-we-discovered-vulnerabilities-apps-built-with-vibe-coding/</w:t>
        </w:r>
      </w:hyperlink>
      <w:r>
        <w:rPr>
          <w:lang w:val="en"/>
        </w:rPr>
        <w:t xml:space="preserve"> </w:t>
      </w:r>
      <w:r>
        <w:rPr>
          <w:lang w:val="en"/>
        </w:rPr>
        <w:t xml:space="preserve">[vendor], accessed 2026-10-21.</w:t>
      </w:r>
    </w:p>
    <w:bookmarkEnd w:id="81"/>
    <w:bookmarkStart w:id="83" w:name="fn:adaweb"/>
    <w:p>
      <w:pPr>
        <w:numPr>
          <w:ilvl w:val="0"/>
          <w:numId w:val="1007"/>
        </w:numPr>
      </w:pPr>
      <w:r>
        <w:rPr>
          <w:lang w:val="en"/>
        </w:rPr>
        <w:t xml:space="preserve">US Department of Justice, "Guidance on Web Accessibility and the ADA", 18 Mar 2022 (no regulation sets a web standard for Title III).</w:t>
      </w:r>
      <w:r>
        <w:rPr>
          <w:lang w:val="en"/>
        </w:rPr>
        <w:t xml:space="preserve"> </w:t>
      </w:r>
      <w:hyperlink r:id="rId82">
        <w:r>
          <w:rPr>
            <w:rStyle w:val="Hyperlink"/>
            <w:lang w:val="en"/>
          </w:rPr>
          <w:t xml:space="preserve">https://www.ada.gov/resources/web-guidance/</w:t>
        </w:r>
      </w:hyperlink>
      <w:r>
        <w:rPr>
          <w:lang w:val="en"/>
        </w:rPr>
        <w:t xml:space="preserve"> </w:t>
      </w:r>
      <w:r>
        <w:rPr>
          <w:lang w:val="en"/>
        </w:rPr>
        <w:t xml:space="preserve">[regulator], accessed 2026-10-21.</w:t>
      </w:r>
    </w:p>
    <w:bookmarkEnd w:id="83"/>
    <w:bookmarkStart w:id="85" w:name="fn:robles"/>
    <w:p>
      <w:pPr>
        <w:numPr>
          <w:ilvl w:val="0"/>
          <w:numId w:val="1007"/>
        </w:numPr>
      </w:pPr>
      <w:r>
        <w:rPr>
          <w:lang w:val="en"/>
        </w:rPr>
        <w:t xml:space="preserve">Robles v. Domino's Pizza, LLC, 913 F.3d 898, No. 17-55504 (9</w:t>
      </w:r>
      <w:r>
        <w:rPr>
          <w:vertAlign w:val="superscript"/>
          <w:lang w:val="en"/>
        </w:rPr>
        <w:t xml:space="preserve">th</w:t>
      </w:r>
      <w:r>
        <w:rPr>
          <w:lang w:val="en"/>
        </w:rPr>
        <w:t xml:space="preserve"> </w:t>
      </w:r>
      <w:r>
        <w:rPr>
          <w:lang w:val="en"/>
        </w:rPr>
        <w:t xml:space="preserve">Cir. Jan. 15, 2019), certiorari denied Oct 2019; opinion read in full (nexus to physical restaurants "critical to our analysis"; reversed a dismissal and remanded without deciding whether the site violated the ADA; fn. 6 leaves open sites with no nexus to a physical place).</w:t>
      </w:r>
      <w:r>
        <w:rPr>
          <w:lang w:val="en"/>
        </w:rPr>
        <w:t xml:space="preserve"> </w:t>
      </w:r>
      <w:hyperlink r:id="rId84">
        <w:r>
          <w:rPr>
            <w:rStyle w:val="Hyperlink"/>
            <w:lang w:val="en"/>
          </w:rPr>
          <w:t xml:space="preserve">https://cdn.ca9.uscourts.gov/datastore/opinions/2019/01/15/17-55504.pdf</w:t>
        </w:r>
      </w:hyperlink>
      <w:r>
        <w:rPr>
          <w:lang w:val="en"/>
        </w:rPr>
        <w:t xml:space="preserve"> </w:t>
      </w:r>
      <w:r>
        <w:rPr>
          <w:lang w:val="en"/>
        </w:rPr>
        <w:t xml:space="preserve">[court], accessed 2026-10-21.</w:t>
      </w:r>
    </w:p>
    <w:bookmarkEnd w:id="85"/>
    <w:bookmarkStart w:id="87" w:name="fn:unruh"/>
    <w:p>
      <w:pPr>
        <w:numPr>
          <w:ilvl w:val="0"/>
          <w:numId w:val="1007"/>
        </w:numPr>
      </w:pPr>
      <w:r>
        <w:rPr>
          <w:lang w:val="en"/>
        </w:rPr>
        <w:t xml:space="preserve">California Civil Code §52(a) (minimum damages of $4,000 per offense) and §51(f) (an ADA violation is an Unruh Act violation).</w:t>
      </w:r>
      <w:r>
        <w:rPr>
          <w:lang w:val="en"/>
        </w:rPr>
        <w:t xml:space="preserve"> </w:t>
      </w:r>
      <w:hyperlink r:id="rId86">
        <w:r>
          <w:rPr>
            <w:rStyle w:val="Hyperlink"/>
            <w:lang w:val="en"/>
          </w:rPr>
          <w:t xml:space="preserve">https://leginfo.legislature.ca.gov/faces/codes_displaySection.xhtml?lawCode=CIV&amp;sectionNum=52</w:t>
        </w:r>
      </w:hyperlink>
      <w:r>
        <w:rPr>
          <w:lang w:val="en"/>
        </w:rPr>
        <w:t xml:space="preserve"> </w:t>
      </w:r>
      <w:r>
        <w:rPr>
          <w:lang w:val="en"/>
        </w:rPr>
        <w:t xml:space="preserve">[statute; statute text not re-read in this review], accessed 2026-10-21.</w:t>
      </w:r>
    </w:p>
    <w:bookmarkEnd w:id="87"/>
    <w:bookmarkStart w:id="89" w:name="fn:title1"/>
    <w:p>
      <w:pPr>
        <w:numPr>
          <w:ilvl w:val="0"/>
          <w:numId w:val="1007"/>
        </w:numPr>
      </w:pPr>
      <w:r>
        <w:rPr>
          <w:lang w:val="en"/>
        </w:rPr>
        <w:t xml:space="preserve">42 U.S.C. §§12111–12112 (ADA Title I: reasonable accommodation unless an undue hardship; selection criteria that screen out people with disabilities only if job-related).</w:t>
      </w:r>
      <w:r>
        <w:rPr>
          <w:lang w:val="en"/>
        </w:rPr>
        <w:t xml:space="preserve"> </w:t>
      </w:r>
      <w:hyperlink r:id="rId88">
        <w:r>
          <w:rPr>
            <w:rStyle w:val="Hyperlink"/>
            <w:lang w:val="en"/>
          </w:rPr>
          <w:t xml:space="preserve">https://www.law.cornell.edu/uscode/text/42/12112</w:t>
        </w:r>
      </w:hyperlink>
      <w:r>
        <w:rPr>
          <w:lang w:val="en"/>
        </w:rPr>
        <w:t xml:space="preserve"> </w:t>
      </w:r>
      <w:r>
        <w:rPr>
          <w:lang w:val="en"/>
        </w:rPr>
        <w:t xml:space="preserve">[statute], accessed 2026-10-21.</w:t>
      </w:r>
    </w:p>
    <w:bookmarkEnd w:id="89"/>
    <w:bookmarkStart w:id="91" w:name="fn:title2"/>
    <w:p>
      <w:pPr>
        <w:numPr>
          <w:ilvl w:val="0"/>
          <w:numId w:val="1007"/>
        </w:numPr>
      </w:pPr>
      <w:r>
        <w:rPr>
          <w:lang w:val="en"/>
        </w:rPr>
        <w:t xml:space="preserve">US Department of Justice, interim final rule extending the compliance dates of the ADA Title II web and mobile app rule (smaller entities and special districts from 26 Apr 2028; technical standard unchanged), Federal Register Doc. 2026-07663, 20 Apr 2026.</w:t>
      </w:r>
      <w:r>
        <w:rPr>
          <w:lang w:val="en"/>
        </w:rPr>
        <w:t xml:space="preserve"> </w:t>
      </w:r>
      <w:hyperlink r:id="rId90">
        <w:r>
          <w:rPr>
            <w:rStyle w:val="Hyperlink"/>
            <w:lang w:val="en"/>
          </w:rPr>
          <w:t xml:space="preserve">https://www.federalregister.gov/d/2026-07663</w:t>
        </w:r>
      </w:hyperlink>
      <w:r>
        <w:rPr>
          <w:lang w:val="en"/>
        </w:rPr>
        <w:t xml:space="preserve"> </w:t>
      </w:r>
      <w:r>
        <w:rPr>
          <w:lang w:val="en"/>
        </w:rPr>
        <w:t xml:space="preserve">[regulator], accessed 2026-10-21.</w:t>
      </w:r>
    </w:p>
    <w:bookmarkEnd w:id="91"/>
    <w:bookmarkStart w:id="93" w:name="fn:s508"/>
    <w:p>
      <w:pPr>
        <w:numPr>
          <w:ilvl w:val="0"/>
          <w:numId w:val="1007"/>
        </w:numPr>
      </w:pPr>
      <w:r>
        <w:rPr>
          <w:lang w:val="en"/>
        </w:rPr>
        <w:t xml:space="preserve">US Access Board, "Information and Communication Technology (ICT)" (Revised 508 Standards, 36 C.F.R. Part 1194, incorporating WCAG 2.0 AA; meeting 2.2 AA generally also meets it).</w:t>
      </w:r>
      <w:r>
        <w:rPr>
          <w:lang w:val="en"/>
        </w:rPr>
        <w:t xml:space="preserve"> </w:t>
      </w:r>
      <w:hyperlink r:id="rId92">
        <w:r>
          <w:rPr>
            <w:rStyle w:val="Hyperlink"/>
            <w:lang w:val="en"/>
          </w:rPr>
          <w:t xml:space="preserve">https://www.access-board.gov/ict/</w:t>
        </w:r>
      </w:hyperlink>
      <w:r>
        <w:rPr>
          <w:lang w:val="en"/>
        </w:rPr>
        <w:t xml:space="preserve"> </w:t>
      </w:r>
      <w:r>
        <w:rPr>
          <w:lang w:val="en"/>
        </w:rPr>
        <w:t xml:space="preserve">[regulator], accessed 2026-10-21.</w:t>
      </w:r>
    </w:p>
    <w:bookmarkEnd w:id="93"/>
    <w:bookmarkStart w:id="95" w:name="fn:s504"/>
    <w:p>
      <w:pPr>
        <w:numPr>
          <w:ilvl w:val="0"/>
          <w:numId w:val="1007"/>
        </w:numPr>
      </w:pPr>
      <w:r>
        <w:rPr>
          <w:lang w:val="en"/>
        </w:rPr>
        <w:t xml:space="preserve">HHS, Section 504 rule extension of compliance dates (fewer than 15 employees from 10 May 2028), Federal Register Doc. 2026-09266, 11 May 2026 (the extension doesn't cover other Section 504 duties, such as reasonable modifications; other agencies' 504 rules differ).</w:t>
      </w:r>
      <w:r>
        <w:rPr>
          <w:lang w:val="en"/>
        </w:rPr>
        <w:t xml:space="preserve"> </w:t>
      </w:r>
      <w:hyperlink r:id="rId94">
        <w:r>
          <w:rPr>
            <w:rStyle w:val="Hyperlink"/>
            <w:lang w:val="en"/>
          </w:rPr>
          <w:t xml:space="preserve">https://www.federalregister.gov/d/2026-09266</w:t>
        </w:r>
      </w:hyperlink>
      <w:r>
        <w:rPr>
          <w:lang w:val="en"/>
        </w:rPr>
        <w:t xml:space="preserve"> </w:t>
      </w:r>
      <w:r>
        <w:rPr>
          <w:lang w:val="en"/>
        </w:rPr>
        <w:t xml:space="preserve">[regulator], accessed 2026-10-21.</w:t>
      </w:r>
    </w:p>
    <w:bookmarkEnd w:id="95"/>
    <w:bookmarkStart w:id="97" w:name="fn:aca"/>
    <w:p>
      <w:pPr>
        <w:numPr>
          <w:ilvl w:val="0"/>
          <w:numId w:val="1007"/>
        </w:numPr>
      </w:pPr>
      <w:r>
        <w:rPr>
          <w:lang w:val="en"/>
        </w:rPr>
        <w:t xml:space="preserve">Government of Canada, Regulations Amending the Accessible Canada Regulations, SOR/2025-255, registered 5 Dec 2025, Canada Gazette Part II, 17 Dec 2025: ss. 19.1 and 19.4(4) (collaborative digital environments), ss. 19.4–19.5 (web pages), s. 18 (coming into force), and the Regulatory Impact Analysis Statement (federal public-sector web pages from 24 months; all other requirements from 36 months); Accessible Canada Act, S.C. 2019, c. 10. Covers banks, telecoms, airlines and interprovincial transport.</w:t>
      </w:r>
      <w:r>
        <w:rPr>
          <w:lang w:val="en"/>
        </w:rPr>
        <w:t xml:space="preserve"> </w:t>
      </w:r>
      <w:hyperlink r:id="rId96">
        <w:r>
          <w:rPr>
            <w:rStyle w:val="Hyperlink"/>
            <w:lang w:val="en"/>
          </w:rPr>
          <w:t xml:space="preserve">https://gazette.gc.ca/rp-pr/p2/2025/2025-12-17/html/sor-dors255-eng.html</w:t>
        </w:r>
      </w:hyperlink>
      <w:r>
        <w:rPr>
          <w:lang w:val="en"/>
        </w:rPr>
        <w:t xml:space="preserve"> </w:t>
      </w:r>
      <w:r>
        <w:rPr>
          <w:lang w:val="en"/>
        </w:rPr>
        <w:t xml:space="preserve">[statute], accessed 2026-10-21.</w:t>
      </w:r>
    </w:p>
    <w:bookmarkEnd w:id="97"/>
    <w:bookmarkStart w:id="99" w:name="fn:aoda"/>
    <w:p>
      <w:pPr>
        <w:numPr>
          <w:ilvl w:val="0"/>
          <w:numId w:val="1007"/>
        </w:numPr>
      </w:pPr>
      <w:r>
        <w:rPr>
          <w:lang w:val="en"/>
        </w:rPr>
        <w:t xml:space="preserve">Government of Ontario, "How to make websites accessible" (AODA, O. Reg. 191/11; the website duty excludes success criteria 1.2.4 and 1.2.5).</w:t>
      </w:r>
      <w:r>
        <w:rPr>
          <w:lang w:val="en"/>
        </w:rPr>
        <w:t xml:space="preserve"> </w:t>
      </w:r>
      <w:hyperlink r:id="rId98">
        <w:r>
          <w:rPr>
            <w:rStyle w:val="Hyperlink"/>
            <w:lang w:val="en"/>
          </w:rPr>
          <w:t xml:space="preserve">https://www.ontario.ca/page/how-make-websites-accessible</w:t>
        </w:r>
      </w:hyperlink>
      <w:r>
        <w:rPr>
          <w:lang w:val="en"/>
        </w:rPr>
        <w:t xml:space="preserve"> </w:t>
      </w:r>
      <w:r>
        <w:rPr>
          <w:lang w:val="en"/>
        </w:rPr>
        <w:t xml:space="preserve">[regulator], accessed 2026-10-21.</w:t>
      </w:r>
    </w:p>
    <w:bookmarkEnd w:id="99"/>
    <w:bookmarkStart w:id="101" w:name="fn:aodasmall"/>
    <w:p>
      <w:pPr>
        <w:numPr>
          <w:ilvl w:val="0"/>
          <w:numId w:val="1007"/>
        </w:numPr>
      </w:pPr>
      <w:r>
        <w:rPr>
          <w:lang w:val="en"/>
        </w:rPr>
        <w:t xml:space="preserve">University of Waterloo Library, AODA toolkit (employment standards, including accessible formats for employees, apply to organizations with 1–49 Ontario employees from 1 Jan 2017).</w:t>
      </w:r>
      <w:r>
        <w:rPr>
          <w:lang w:val="en"/>
        </w:rPr>
        <w:t xml:space="preserve"> </w:t>
      </w:r>
      <w:hyperlink r:id="rId100">
        <w:r>
          <w:rPr>
            <w:rStyle w:val="Hyperlink"/>
            <w:lang w:val="en"/>
          </w:rPr>
          <w:t xml:space="preserve">https://uwaterloo.ca/library/aoda-toolkit/node/15</w:t>
        </w:r>
      </w:hyperlink>
      <w:r>
        <w:rPr>
          <w:lang w:val="en"/>
        </w:rPr>
        <w:t xml:space="preserve"> </w:t>
      </w:r>
      <w:r>
        <w:rPr>
          <w:lang w:val="en"/>
        </w:rPr>
        <w:t xml:space="preserve">[secondary; s. 26 not re-read on e-Laws, which didn't render], accessed 2026-10-21.</w:t>
      </w:r>
    </w:p>
    <w:bookmarkEnd w:id="101"/>
    <w:bookmarkStart w:id="103" w:name="fn:eaa"/>
    <w:p>
      <w:pPr>
        <w:numPr>
          <w:ilvl w:val="0"/>
          <w:numId w:val="1007"/>
        </w:numPr>
      </w:pPr>
      <w:r>
        <w:rPr>
          <w:lang w:val="en"/>
        </w:rPr>
        <w:t xml:space="preserve">European Union, Directive (EU) 2019/882 on the accessibility requirements for products and services, Arts. 3(23) and 4(5) (microenterprises: fewer than 10 persons and turnover or balance sheet of EUR 2 million or less), 31(2) (applies from 28 June 2025) and 32 (transitional rules to 28 June 2030); read on an official copy of the EU text, as the EUR-Lex page didn't render.</w:t>
      </w:r>
      <w:r>
        <w:rPr>
          <w:lang w:val="en"/>
        </w:rPr>
        <w:t xml:space="preserve"> </w:t>
      </w:r>
      <w:hyperlink r:id="rId102">
        <w:r>
          <w:rPr>
            <w:rStyle w:val="Hyperlink"/>
            <w:lang w:val="en"/>
          </w:rPr>
          <w:t xml:space="preserve">https://eur-lex.europa.eu/eli/dir/2019/882/oj</w:t>
        </w:r>
      </w:hyperlink>
      <w:r>
        <w:rPr>
          <w:lang w:val="en"/>
        </w:rPr>
        <w:t xml:space="preserve"> </w:t>
      </w:r>
      <w:r>
        <w:rPr>
          <w:lang w:val="en"/>
        </w:rPr>
        <w:t xml:space="preserve">[statute], accessed 2026-10-21.</w:t>
      </w:r>
    </w:p>
    <w:bookmarkEnd w:id="103"/>
    <w:bookmarkStart w:id="105" w:name="fn:wcag22"/>
    <w:p>
      <w:pPr>
        <w:numPr>
          <w:ilvl w:val="0"/>
          <w:numId w:val="1007"/>
        </w:numPr>
      </w:pPr>
      <w:r>
        <w:rPr>
          <w:lang w:val="en"/>
        </w:rPr>
        <w:t xml:space="preserve">W3C, "WCAG 2.2" (backward compatible; removes the obsolete 4.1.1 Parsing criterion).</w:t>
      </w:r>
      <w:r>
        <w:rPr>
          <w:lang w:val="en"/>
        </w:rPr>
        <w:t xml:space="preserve"> </w:t>
      </w:r>
      <w:hyperlink r:id="rId104">
        <w:r>
          <w:rPr>
            <w:rStyle w:val="Hyperlink"/>
            <w:lang w:val="en"/>
          </w:rPr>
          <w:t xml:space="preserve">https://www.w3.org/TR/WCAG22/</w:t>
        </w:r>
      </w:hyperlink>
      <w:r>
        <w:rPr>
          <w:lang w:val="en"/>
        </w:rPr>
        <w:t xml:space="preserve"> </w:t>
      </w:r>
      <w:r>
        <w:rPr>
          <w:lang w:val="en"/>
        </w:rPr>
        <w:t xml:space="preserve">[primary], accessed 2026-10-21.</w:t>
      </w:r>
    </w:p>
    <w:bookmarkEnd w:id="105"/>
    <w:bookmarkStart w:id="107" w:name="fn:new22"/>
    <w:p>
      <w:pPr>
        <w:numPr>
          <w:ilvl w:val="0"/>
          <w:numId w:val="1007"/>
        </w:numPr>
      </w:pPr>
      <w:r>
        <w:rPr>
          <w:lang w:val="en"/>
        </w:rPr>
        <w:t xml:space="preserve">W3C, "What's New in WCAG 2.2" (new AA criteria: Focus Not Obscured (Minimum), Dragging Movements, Target Size (Minimum), Accessible Authentication (Minimum)).</w:t>
      </w:r>
      <w:r>
        <w:rPr>
          <w:lang w:val="en"/>
        </w:rPr>
        <w:t xml:space="preserve"> </w:t>
      </w:r>
      <w:hyperlink r:id="rId106">
        <w:r>
          <w:rPr>
            <w:rStyle w:val="Hyperlink"/>
            <w:lang w:val="en"/>
          </w:rPr>
          <w:t xml:space="preserve">https://www.w3.org/WAI/standards-guidelines/wcag/new-in-22/</w:t>
        </w:r>
      </w:hyperlink>
      <w:r>
        <w:rPr>
          <w:lang w:val="en"/>
        </w:rPr>
        <w:t xml:space="preserve"> </w:t>
      </w:r>
      <w:r>
        <w:rPr>
          <w:lang w:val="en"/>
        </w:rPr>
        <w:t xml:space="preserve">[primary], accessed 2026-10-21.</w:t>
      </w:r>
    </w:p>
    <w:bookmarkEnd w:id="107"/>
    <w:bookmarkStart w:id="109" w:name="fn:webaim"/>
    <w:p>
      <w:pPr>
        <w:numPr>
          <w:ilvl w:val="0"/>
          <w:numId w:val="1007"/>
        </w:numPr>
      </w:pPr>
      <w:r>
        <w:rPr>
          <w:lang w:val="en"/>
        </w:rPr>
        <w:t xml:space="preserve">WebAIM, "The WebAIM Million" (2026 report, published Mar 2026 from a Feb 2026 crawl: six error types make up 96% of errors).</w:t>
      </w:r>
      <w:r>
        <w:rPr>
          <w:lang w:val="en"/>
        </w:rPr>
        <w:t xml:space="preserve"> </w:t>
      </w:r>
      <w:hyperlink r:id="rId108">
        <w:r>
          <w:rPr>
            <w:rStyle w:val="Hyperlink"/>
            <w:lang w:val="en"/>
          </w:rPr>
          <w:t xml:space="preserve">https://webaim.org/projects/million/</w:t>
        </w:r>
      </w:hyperlink>
      <w:r>
        <w:rPr>
          <w:lang w:val="en"/>
        </w:rPr>
        <w:t xml:space="preserve"> </w:t>
      </w:r>
      <w:r>
        <w:rPr>
          <w:lang w:val="en"/>
        </w:rPr>
        <w:t xml:space="preserve">[research], accessed 2026-10-21.</w:t>
      </w:r>
    </w:p>
    <w:bookmarkEnd w:id="109"/>
    <w:bookmarkStart w:id="111" w:name="fn:chi"/>
    <w:p>
      <w:pPr>
        <w:numPr>
          <w:ilvl w:val="0"/>
          <w:numId w:val="1007"/>
        </w:numPr>
      </w:pPr>
      <w:r>
        <w:rPr>
          <w:lang w:val="en"/>
        </w:rPr>
        <w:t xml:space="preserve">Calò, Gurita and De Russis, "Measuring the Semantic Accessibility Gap in LLM-Generated Web UIs", CHI '26, Apr 2026 (541 semantic violations in 300 interfaces from three commercial models).</w:t>
      </w:r>
      <w:r>
        <w:rPr>
          <w:lang w:val="en"/>
        </w:rPr>
        <w:t xml:space="preserve"> </w:t>
      </w:r>
      <w:hyperlink r:id="rId110">
        <w:r>
          <w:rPr>
            <w:rStyle w:val="Hyperlink"/>
            <w:lang w:val="en"/>
          </w:rPr>
          <w:t xml:space="preserve">https://iris.polito.it/handle/11583/3008330</w:t>
        </w:r>
      </w:hyperlink>
      <w:r>
        <w:rPr>
          <w:lang w:val="en"/>
        </w:rPr>
        <w:t xml:space="preserve"> </w:t>
      </w:r>
      <w:r>
        <w:rPr>
          <w:lang w:val="en"/>
        </w:rPr>
        <w:t xml:space="preserve">[research], accessed 2026-10-21.</w:t>
      </w:r>
    </w:p>
    <w:bookmarkEnd w:id="111"/>
    <w:bookmarkStart w:id="113" w:name="fn:a11yn"/>
    <w:p>
      <w:pPr>
        <w:numPr>
          <w:ilvl w:val="0"/>
          <w:numId w:val="1007"/>
        </w:numPr>
      </w:pPr>
      <w:r>
        <w:rPr>
          <w:lang w:val="en"/>
        </w:rPr>
        <w:t xml:space="preserve">Yoon et al., "A11yn" (arXiv preprint; base-model output often breaks WCAG while looking visually coherent), submitted Oct 2025.</w:t>
      </w:r>
      <w:r>
        <w:rPr>
          <w:lang w:val="en"/>
        </w:rPr>
        <w:t xml:space="preserve"> </w:t>
      </w:r>
      <w:hyperlink r:id="rId112">
        <w:r>
          <w:rPr>
            <w:rStyle w:val="Hyperlink"/>
            <w:lang w:val="en"/>
          </w:rPr>
          <w:t xml:space="preserve">https://arxiv.org/abs/2510.13914</w:t>
        </w:r>
      </w:hyperlink>
      <w:r>
        <w:rPr>
          <w:lang w:val="en"/>
        </w:rPr>
        <w:t xml:space="preserve"> </w:t>
      </w:r>
      <w:r>
        <w:rPr>
          <w:lang w:val="en"/>
        </w:rPr>
        <w:t xml:space="preserve">[research], accessed 2026-10-21.</w:t>
      </w:r>
    </w:p>
    <w:bookmarkEnd w:id="113"/>
    <w:p>
      <w:pPr>
        <w:pStyle w:val="FirstParagraph"/>
      </w:pPr>
      <w:r>
        <w:rPr>
          <w:lang w:val="en"/>
        </w:rPr>
        <w:t xml:space="preserve">Prompt to Prototype, Make a vibe-coded app production ready,</w:t>
      </w:r>
      <w:r>
        <w:rPr>
          <w:lang w:val="en"/>
        </w:rPr>
        <w:t xml:space="preserve"> </w:t>
      </w:r>
      <w:hyperlink r:id="rId9">
        <w:r>
          <w:rPr>
            <w:rStyle w:val="Hyperlink"/>
            <w:lang w:val="en"/>
          </w:rPr>
          <w:t xml:space="preserve">https://prompt-to-prototype.com/lifecycle/production-ready/</w:t>
        </w:r>
      </w:hyperlink>
      <w:r>
        <w:rPr>
          <w:lang w:val="en"/>
        </w:rPr>
        <w:t xml:space="preserve">, as of 2026-10-22. Licensed</w:t>
      </w:r>
      <w:r>
        <w:rPr>
          <w:lang w:val="en"/>
        </w:rPr>
        <w:t xml:space="preserve"> </w:t>
      </w:r>
      <w:hyperlink r:id="rId114">
        <w:r>
          <w:rPr>
            <w:rStyle w:val="Hyperlink"/>
            <w:lang w:val="en"/>
          </w:rPr>
          <w:t xml:space="preserve">CC BY-SA 4.0</w:t>
        </w:r>
      </w:hyperlink>
      <w:r>
        <w:rPr>
          <w:lang w:val="en"/>
        </w:rPr>
        <w:t xml:space="preserve">.</w:t>
      </w:r>
    </w:p>
    <w:bookmarkEnd w:id="115"/>
    <w:bookmarkEnd w:id="1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2" Target="https://arxiv.org/abs/2510.13914" TargetMode="External" /><Relationship Type="http://schemas.openxmlformats.org/officeDocument/2006/relationships/hyperlink" Id="rId84" Target="https://cdn.ca9.uscourts.gov/datastore/opinions/2019/01/15/17-55504.pdf" TargetMode="External" /><Relationship Type="http://schemas.openxmlformats.org/officeDocument/2006/relationships/hyperlink" Id="rId114" Target="https://creativecommons.org/licenses/by-sa/4.0/" TargetMode="External" /><Relationship Type="http://schemas.openxmlformats.org/officeDocument/2006/relationships/hyperlink" Id="rId80" Target="https://escape.tech/blog/methodology-how-we-discovered-vulnerabilities-apps-built-with-vibe-coding/" TargetMode="External" /><Relationship Type="http://schemas.openxmlformats.org/officeDocument/2006/relationships/hyperlink" Id="rId102" Target="https://eur-lex.europa.eu/eli/dir/2019/882/oj" TargetMode="External" /><Relationship Type="http://schemas.openxmlformats.org/officeDocument/2006/relationships/hyperlink" Id="rId96" Target="https://gazette.gc.ca/rp-pr/p2/2025/2025-12-17/html/sor-dors255-eng.html" TargetMode="External" /><Relationship Type="http://schemas.openxmlformats.org/officeDocument/2006/relationships/hyperlink" Id="rId110" Target="https://iris.polito.it/handle/11583/3008330" TargetMode="External" /><Relationship Type="http://schemas.openxmlformats.org/officeDocument/2006/relationships/hyperlink" Id="rId86" Target="https://leginfo.legislature.ca.gov/faces/codes_displaySection.xhtml?lawCode=CIV&amp;sectionNum=52" TargetMode="External" /><Relationship Type="http://schemas.openxmlformats.org/officeDocument/2006/relationships/hyperlink" Id="rId76" Target="https://nvd.nist.gov/vuln/detail/CVE-2025-48757" TargetMode="External" /><Relationship Type="http://schemas.openxmlformats.org/officeDocument/2006/relationships/hyperlink" Id="rId52" Target="https://prompt-to-prototype.com/build/document-your-app/" TargetMode="External" /><Relationship Type="http://schemas.openxmlformats.org/officeDocument/2006/relationships/hyperlink" Id="rId36" Target="https://prompt-to-prototype.com/build/evaluate-an-ai-feature/" TargetMode="External" /><Relationship Type="http://schemas.openxmlformats.org/officeDocument/2006/relationships/hyperlink" Id="rId43" Target="https://prompt-to-prototype.com/build/test-your-app/" TargetMode="External" /><Relationship Type="http://schemas.openxmlformats.org/officeDocument/2006/relationships/hyperlink" Id="rId41" Target="https://prompt-to-prototype.com/evidence/failure-patterns/" TargetMode="External" /><Relationship Type="http://schemas.openxmlformats.org/officeDocument/2006/relationships/hyperlink" Id="rId64" Target="https://prompt-to-prototype.com/lifecycle/accessibility-checks.csv" TargetMode="External" /><Relationship Type="http://schemas.openxmlformats.org/officeDocument/2006/relationships/hyperlink" Id="rId13" Target="https://prompt-to-prototype.com/lifecycle/go-live-checklist.csv" TargetMode="External" /><Relationship Type="http://schemas.openxmlformats.org/officeDocument/2006/relationships/hyperlink" Id="rId9" Target="https://prompt-to-prototype.com/lifecycle/production-ready/" TargetMode="External" /><Relationship Type="http://schemas.openxmlformats.org/officeDocument/2006/relationships/hyperlink" Id="rId71" Target="https://prompt-to-prototype.com/lifecycle/verify/" TargetMode="External" /><Relationship Type="http://schemas.openxmlformats.org/officeDocument/2006/relationships/hyperlink" Id="rId37" Target="https://prompt-to-prototype.com/lifecycle/verify/#business-review-and-technical-check" TargetMode="External" /><Relationship Type="http://schemas.openxmlformats.org/officeDocument/2006/relationships/hyperlink" Id="rId11" Target="https://prompt-to-prototype.com/lifecycle/verify/#the-verify-self-check" TargetMode="External" /><Relationship Type="http://schemas.openxmlformats.org/officeDocument/2006/relationships/hyperlink" Id="rId18" Target="https://prompt-to-prototype.com/operating-model/app-ownership/" TargetMode="External" /><Relationship Type="http://schemas.openxmlformats.org/officeDocument/2006/relationships/hyperlink" Id="rId17" Target="https://prompt-to-prototype.com/operating-model/app-registry/" TargetMode="External" /><Relationship Type="http://schemas.openxmlformats.org/officeDocument/2006/relationships/hyperlink" Id="rId10" Target="https://prompt-to-prototype.com/operating-model/risk-tiers/" TargetMode="External" /><Relationship Type="http://schemas.openxmlformats.org/officeDocument/2006/relationships/hyperlink" Id="rId23" Target="https://prompt-to-prototype.com/operating-model/risk-tiers/#bounded-exceptions" TargetMode="External" /><Relationship Type="http://schemas.openxmlformats.org/officeDocument/2006/relationships/hyperlink" Id="rId15" Target="https://prompt-to-prototype.com/operating-model/risk-tiers/#gate-matrix" TargetMode="External" /><Relationship Type="http://schemas.openxmlformats.org/officeDocument/2006/relationships/hyperlink" Id="rId12" Target="https://prompt-to-prototype.com/operating-model/risk-tiers/#gate-matrix-deploy" TargetMode="External" /><Relationship Type="http://schemas.openxmlformats.org/officeDocument/2006/relationships/hyperlink" Id="rId62" Target="https://prompt-to-prototype.com/operating-model/risk-tiers/#gate-matrix-verify" TargetMode="External" /><Relationship Type="http://schemas.openxmlformats.org/officeDocument/2006/relationships/hyperlink" Id="rId22" Target="https://prompt-to-prototype.com/operating-model/risk-tiers/#the-audit-scope-flag" TargetMode="External" /><Relationship Type="http://schemas.openxmlformats.org/officeDocument/2006/relationships/hyperlink" Id="rId60" Target="https://prompt-to-prototype.com/operating-model/risk-tiers/#the-downgrade-path-owner-signed-and-documented" TargetMode="External" /><Relationship Type="http://schemas.openxmlformats.org/officeDocument/2006/relationships/hyperlink" Id="rId29" Target="https://prompt-to-prototype.com/operating-model/risk-tiers/#the-floor-breach-rule" TargetMode="External" /><Relationship Type="http://schemas.openxmlformats.org/officeDocument/2006/relationships/hyperlink" Id="rId20" Target="https://prompt-to-prototype.com/operating-model/risk-tiers/#the-jurisdiction-flag" TargetMode="External" /><Relationship Type="http://schemas.openxmlformats.org/officeDocument/2006/relationships/hyperlink" Id="rId19" Target="https://prompt-to-prototype.com/operating-model/risk-tiers/#the-six-tier-questions" TargetMode="External" /><Relationship Type="http://schemas.openxmlformats.org/officeDocument/2006/relationships/hyperlink" Id="rId28" Target="https://prompt-to-prototype.com/operating-model/risk-tiers/#the-two-floors-every-tier-no-exceptions-no-downgrade" TargetMode="External" /><Relationship Type="http://schemas.openxmlformats.org/officeDocument/2006/relationships/hyperlink" Id="rId21" Target="https://prompt-to-prototype.com/operating-model/roles-and-decision-rights/#the-counsel-route" TargetMode="External" /><Relationship Type="http://schemas.openxmlformats.org/officeDocument/2006/relationships/hyperlink" Id="rId16" Target="https://prompt-to-prototype.com/operating-model/roles-and-decision-rights/#the-roles" TargetMode="External" /><Relationship Type="http://schemas.openxmlformats.org/officeDocument/2006/relationships/hyperlink" Id="rId54" Target="https://prompt-to-prototype.com/operating-model/support-model/" TargetMode="External" /><Relationship Type="http://schemas.openxmlformats.org/officeDocument/2006/relationships/hyperlink" Id="rId24" Target="https://prompt-to-prototype.com/operating-model/when-the-builder-leaves/" TargetMode="External" /><Relationship Type="http://schemas.openxmlformats.org/officeDocument/2006/relationships/hyperlink" Id="rId47" Target="https://prompt-to-prototype.com/operations/ai-spend/" TargetMode="External" /><Relationship Type="http://schemas.openxmlformats.org/officeDocument/2006/relationships/hyperlink" Id="rId59" Target="https://prompt-to-prototype.com/platform/approve-tools/" TargetMode="External" /><Relationship Type="http://schemas.openxmlformats.org/officeDocument/2006/relationships/hyperlink" Id="rId34" Target="https://prompt-to-prototype.com/platform/guardrails/" TargetMode="External" /><Relationship Type="http://schemas.openxmlformats.org/officeDocument/2006/relationships/hyperlink" Id="rId38" Target="https://prompt-to-prototype.com/platform/guardrails/#what-the-exposure-scan-must-check" TargetMode="External" /><Relationship Type="http://schemas.openxmlformats.org/officeDocument/2006/relationships/hyperlink" Id="rId26" Target="https://prompt-to-prototype.com/platform/hosting/" TargetMode="External" /><Relationship Type="http://schemas.openxmlformats.org/officeDocument/2006/relationships/hyperlink" Id="rId72" Target="https://prompt-to-prototype.com/security/" TargetMode="External" /><Relationship Type="http://schemas.openxmlformats.org/officeDocument/2006/relationships/hyperlink" Id="rId27" Target="https://prompt-to-prototype.com/security/#access" TargetMode="External" /><Relationship Type="http://schemas.openxmlformats.org/officeDocument/2006/relationships/hyperlink" Id="rId31" Target="https://prompt-to-prototype.com/security/#data-rules" TargetMode="External" /><Relationship Type="http://schemas.openxmlformats.org/officeDocument/2006/relationships/hyperlink" Id="rId39" Target="https://prompt-to-prototype.com/security/#dependencies" TargetMode="External" /><Relationship Type="http://schemas.openxmlformats.org/officeDocument/2006/relationships/hyperlink" Id="rId40" Target="https://prompt-to-prototype.com/security/#input-handling" TargetMode="External" /><Relationship Type="http://schemas.openxmlformats.org/officeDocument/2006/relationships/hyperlink" Id="rId46" Target="https://prompt-to-prototype.com/security/#logging" TargetMode="External" /><Relationship Type="http://schemas.openxmlformats.org/officeDocument/2006/relationships/hyperlink" Id="rId49" Target="https://prompt-to-prototype.com/security/ai-features/#what-must-we-disclose-and-are-we-bound-by-what-the-ai-says" TargetMode="External" /><Relationship Type="http://schemas.openxmlformats.org/officeDocument/2006/relationships/hyperlink" Id="rId73" Target="https://prompt-to-prototype.com/security/exposed-data-and-secrets/" TargetMode="External" /><Relationship Type="http://schemas.openxmlformats.org/officeDocument/2006/relationships/hyperlink" Id="rId32" Target="https://prompt-to-prototype.com/security/exposed-data-and-secrets/#how-to-test-your-app-no-developer-needed" TargetMode="External" /><Relationship Type="http://schemas.openxmlformats.org/officeDocument/2006/relationships/hyperlink" Id="rId35" Target="https://prompt-to-prototype.com/security/exposed-data-and-secrets/#secrets" TargetMode="External" /><Relationship Type="http://schemas.openxmlformats.org/officeDocument/2006/relationships/hyperlink" Id="rId14" Target="https://prompt-to-prototype.com/security/security-checklist.csv" TargetMode="External" /><Relationship Type="http://schemas.openxmlformats.org/officeDocument/2006/relationships/hyperlink" Id="rId51" Target="https://prompt-to-prototype.com/worksheets/app-record-template/" TargetMode="External" /><Relationship Type="http://schemas.openxmlformats.org/officeDocument/2006/relationships/hyperlink" Id="rId67" Target="https://prompt-to-prototype.com/worksheets/decision-record-template/" TargetMode="External" /><Relationship Type="http://schemas.openxmlformats.org/officeDocument/2006/relationships/hyperlink" Id="rId74" Target="https://upguard.com/breaches/power-apps" TargetMode="External" /><Relationship Type="http://schemas.openxmlformats.org/officeDocument/2006/relationships/hyperlink" Id="rId100" Target="https://uwaterloo.ca/library/aoda-toolkit/node/15" TargetMode="External" /><Relationship Type="http://schemas.openxmlformats.org/officeDocument/2006/relationships/hyperlink" Id="rId108" Target="https://webaim.org/projects/million/" TargetMode="External" /><Relationship Type="http://schemas.openxmlformats.org/officeDocument/2006/relationships/hyperlink" Id="rId92" Target="https://www.access-board.gov/ict/" TargetMode="External" /><Relationship Type="http://schemas.openxmlformats.org/officeDocument/2006/relationships/hyperlink" Id="rId82" Target="https://www.ada.gov/resources/web-guidance/" TargetMode="External" /><Relationship Type="http://schemas.openxmlformats.org/officeDocument/2006/relationships/hyperlink" Id="rId90" Target="https://www.federalregister.gov/d/2026-07663" TargetMode="External" /><Relationship Type="http://schemas.openxmlformats.org/officeDocument/2006/relationships/hyperlink" Id="rId94" Target="https://www.federalregister.gov/d/2026-09266" TargetMode="External" /><Relationship Type="http://schemas.openxmlformats.org/officeDocument/2006/relationships/hyperlink" Id="rId88" Target="https://www.law.cornell.edu/uscode/text/42/12112" TargetMode="External" /><Relationship Type="http://schemas.openxmlformats.org/officeDocument/2006/relationships/hyperlink" Id="rId98" Target="https://www.ontario.ca/page/how-make-websites-accessible" TargetMode="External" /><Relationship Type="http://schemas.openxmlformats.org/officeDocument/2006/relationships/hyperlink" Id="rId104" Target="https://www.w3.org/TR/WCAG22/" TargetMode="External" /><Relationship Type="http://schemas.openxmlformats.org/officeDocument/2006/relationships/hyperlink" Id="rId106" Target="https://www.w3.org/WAI/standards-guidelines/wcag/new-in-22/" TargetMode="External" /><Relationship Type="http://schemas.openxmlformats.org/officeDocument/2006/relationships/hyperlink" Id="rId78" Target="https://www.zaproxy.org/docs/docker/baseline-scan/" TargetMode="External" /></Relationships>
</file>

<file path=word/_rels/footnotes.xml.rels><?xml version="1.0" encoding="UTF-8"?><Relationships xmlns="http://schemas.openxmlformats.org/package/2006/relationships"><Relationship Type="http://schemas.openxmlformats.org/officeDocument/2006/relationships/hyperlink" Id="rId112" Target="https://arxiv.org/abs/2510.13914" TargetMode="External" /><Relationship Type="http://schemas.openxmlformats.org/officeDocument/2006/relationships/hyperlink" Id="rId84" Target="https://cdn.ca9.uscourts.gov/datastore/opinions/2019/01/15/17-55504.pdf" TargetMode="External" /><Relationship Type="http://schemas.openxmlformats.org/officeDocument/2006/relationships/hyperlink" Id="rId114" Target="https://creativecommons.org/licenses/by-sa/4.0/" TargetMode="External" /><Relationship Type="http://schemas.openxmlformats.org/officeDocument/2006/relationships/hyperlink" Id="rId80" Target="https://escape.tech/blog/methodology-how-we-discovered-vulnerabilities-apps-built-with-vibe-coding/" TargetMode="External" /><Relationship Type="http://schemas.openxmlformats.org/officeDocument/2006/relationships/hyperlink" Id="rId102" Target="https://eur-lex.europa.eu/eli/dir/2019/882/oj" TargetMode="External" /><Relationship Type="http://schemas.openxmlformats.org/officeDocument/2006/relationships/hyperlink" Id="rId96" Target="https://gazette.gc.ca/rp-pr/p2/2025/2025-12-17/html/sor-dors255-eng.html" TargetMode="External" /><Relationship Type="http://schemas.openxmlformats.org/officeDocument/2006/relationships/hyperlink" Id="rId110" Target="https://iris.polito.it/handle/11583/3008330" TargetMode="External" /><Relationship Type="http://schemas.openxmlformats.org/officeDocument/2006/relationships/hyperlink" Id="rId86" Target="https://leginfo.legislature.ca.gov/faces/codes_displaySection.xhtml?lawCode=CIV&amp;sectionNum=52" TargetMode="External" /><Relationship Type="http://schemas.openxmlformats.org/officeDocument/2006/relationships/hyperlink" Id="rId76" Target="https://nvd.nist.gov/vuln/detail/CVE-2025-48757" TargetMode="External" /><Relationship Type="http://schemas.openxmlformats.org/officeDocument/2006/relationships/hyperlink" Id="rId52" Target="https://prompt-to-prototype.com/build/document-your-app/" TargetMode="External" /><Relationship Type="http://schemas.openxmlformats.org/officeDocument/2006/relationships/hyperlink" Id="rId36" Target="https://prompt-to-prototype.com/build/evaluate-an-ai-feature/" TargetMode="External" /><Relationship Type="http://schemas.openxmlformats.org/officeDocument/2006/relationships/hyperlink" Id="rId43" Target="https://prompt-to-prototype.com/build/test-your-app/" TargetMode="External" /><Relationship Type="http://schemas.openxmlformats.org/officeDocument/2006/relationships/hyperlink" Id="rId41" Target="https://prompt-to-prototype.com/evidence/failure-patterns/" TargetMode="External" /><Relationship Type="http://schemas.openxmlformats.org/officeDocument/2006/relationships/hyperlink" Id="rId64" Target="https://prompt-to-prototype.com/lifecycle/accessibility-checks.csv" TargetMode="External" /><Relationship Type="http://schemas.openxmlformats.org/officeDocument/2006/relationships/hyperlink" Id="rId13" Target="https://prompt-to-prototype.com/lifecycle/go-live-checklist.csv" TargetMode="External" /><Relationship Type="http://schemas.openxmlformats.org/officeDocument/2006/relationships/hyperlink" Id="rId9" Target="https://prompt-to-prototype.com/lifecycle/production-ready/" TargetMode="External" /><Relationship Type="http://schemas.openxmlformats.org/officeDocument/2006/relationships/hyperlink" Id="rId71" Target="https://prompt-to-prototype.com/lifecycle/verify/" TargetMode="External" /><Relationship Type="http://schemas.openxmlformats.org/officeDocument/2006/relationships/hyperlink" Id="rId37" Target="https://prompt-to-prototype.com/lifecycle/verify/#business-review-and-technical-check" TargetMode="External" /><Relationship Type="http://schemas.openxmlformats.org/officeDocument/2006/relationships/hyperlink" Id="rId11" Target="https://prompt-to-prototype.com/lifecycle/verify/#the-verify-self-check" TargetMode="External" /><Relationship Type="http://schemas.openxmlformats.org/officeDocument/2006/relationships/hyperlink" Id="rId18" Target="https://prompt-to-prototype.com/operating-model/app-ownership/" TargetMode="External" /><Relationship Type="http://schemas.openxmlformats.org/officeDocument/2006/relationships/hyperlink" Id="rId17" Target="https://prompt-to-prototype.com/operating-model/app-registry/" TargetMode="External" /><Relationship Type="http://schemas.openxmlformats.org/officeDocument/2006/relationships/hyperlink" Id="rId10" Target="https://prompt-to-prototype.com/operating-model/risk-tiers/" TargetMode="External" /><Relationship Type="http://schemas.openxmlformats.org/officeDocument/2006/relationships/hyperlink" Id="rId23" Target="https://prompt-to-prototype.com/operating-model/risk-tiers/#bounded-exceptions" TargetMode="External" /><Relationship Type="http://schemas.openxmlformats.org/officeDocument/2006/relationships/hyperlink" Id="rId15" Target="https://prompt-to-prototype.com/operating-model/risk-tiers/#gate-matrix" TargetMode="External" /><Relationship Type="http://schemas.openxmlformats.org/officeDocument/2006/relationships/hyperlink" Id="rId12" Target="https://prompt-to-prototype.com/operating-model/risk-tiers/#gate-matrix-deploy" TargetMode="External" /><Relationship Type="http://schemas.openxmlformats.org/officeDocument/2006/relationships/hyperlink" Id="rId62" Target="https://prompt-to-prototype.com/operating-model/risk-tiers/#gate-matrix-verify" TargetMode="External" /><Relationship Type="http://schemas.openxmlformats.org/officeDocument/2006/relationships/hyperlink" Id="rId22" Target="https://prompt-to-prototype.com/operating-model/risk-tiers/#the-audit-scope-flag" TargetMode="External" /><Relationship Type="http://schemas.openxmlformats.org/officeDocument/2006/relationships/hyperlink" Id="rId60" Target="https://prompt-to-prototype.com/operating-model/risk-tiers/#the-downgrade-path-owner-signed-and-documented" TargetMode="External" /><Relationship Type="http://schemas.openxmlformats.org/officeDocument/2006/relationships/hyperlink" Id="rId29" Target="https://prompt-to-prototype.com/operating-model/risk-tiers/#the-floor-breach-rule" TargetMode="External" /><Relationship Type="http://schemas.openxmlformats.org/officeDocument/2006/relationships/hyperlink" Id="rId20" Target="https://prompt-to-prototype.com/operating-model/risk-tiers/#the-jurisdiction-flag" TargetMode="External" /><Relationship Type="http://schemas.openxmlformats.org/officeDocument/2006/relationships/hyperlink" Id="rId19" Target="https://prompt-to-prototype.com/operating-model/risk-tiers/#the-six-tier-questions" TargetMode="External" /><Relationship Type="http://schemas.openxmlformats.org/officeDocument/2006/relationships/hyperlink" Id="rId28" Target="https://prompt-to-prototype.com/operating-model/risk-tiers/#the-two-floors-every-tier-no-exceptions-no-downgrade" TargetMode="External" /><Relationship Type="http://schemas.openxmlformats.org/officeDocument/2006/relationships/hyperlink" Id="rId21" Target="https://prompt-to-prototype.com/operating-model/roles-and-decision-rights/#the-counsel-route" TargetMode="External" /><Relationship Type="http://schemas.openxmlformats.org/officeDocument/2006/relationships/hyperlink" Id="rId16" Target="https://prompt-to-prototype.com/operating-model/roles-and-decision-rights/#the-roles" TargetMode="External" /><Relationship Type="http://schemas.openxmlformats.org/officeDocument/2006/relationships/hyperlink" Id="rId54" Target="https://prompt-to-prototype.com/operating-model/support-model/" TargetMode="External" /><Relationship Type="http://schemas.openxmlformats.org/officeDocument/2006/relationships/hyperlink" Id="rId24" Target="https://prompt-to-prototype.com/operating-model/when-the-builder-leaves/" TargetMode="External" /><Relationship Type="http://schemas.openxmlformats.org/officeDocument/2006/relationships/hyperlink" Id="rId47" Target="https://prompt-to-prototype.com/operations/ai-spend/" TargetMode="External" /><Relationship Type="http://schemas.openxmlformats.org/officeDocument/2006/relationships/hyperlink" Id="rId59" Target="https://prompt-to-prototype.com/platform/approve-tools/" TargetMode="External" /><Relationship Type="http://schemas.openxmlformats.org/officeDocument/2006/relationships/hyperlink" Id="rId34" Target="https://prompt-to-prototype.com/platform/guardrails/" TargetMode="External" /><Relationship Type="http://schemas.openxmlformats.org/officeDocument/2006/relationships/hyperlink" Id="rId38" Target="https://prompt-to-prototype.com/platform/guardrails/#what-the-exposure-scan-must-check" TargetMode="External" /><Relationship Type="http://schemas.openxmlformats.org/officeDocument/2006/relationships/hyperlink" Id="rId26" Target="https://prompt-to-prototype.com/platform/hosting/" TargetMode="External" /><Relationship Type="http://schemas.openxmlformats.org/officeDocument/2006/relationships/hyperlink" Id="rId72" Target="https://prompt-to-prototype.com/security/" TargetMode="External" /><Relationship Type="http://schemas.openxmlformats.org/officeDocument/2006/relationships/hyperlink" Id="rId27" Target="https://prompt-to-prototype.com/security/#access" TargetMode="External" /><Relationship Type="http://schemas.openxmlformats.org/officeDocument/2006/relationships/hyperlink" Id="rId31" Target="https://prompt-to-prototype.com/security/#data-rules" TargetMode="External" /><Relationship Type="http://schemas.openxmlformats.org/officeDocument/2006/relationships/hyperlink" Id="rId39" Target="https://prompt-to-prototype.com/security/#dependencies" TargetMode="External" /><Relationship Type="http://schemas.openxmlformats.org/officeDocument/2006/relationships/hyperlink" Id="rId40" Target="https://prompt-to-prototype.com/security/#input-handling" TargetMode="External" /><Relationship Type="http://schemas.openxmlformats.org/officeDocument/2006/relationships/hyperlink" Id="rId46" Target="https://prompt-to-prototype.com/security/#logging" TargetMode="External" /><Relationship Type="http://schemas.openxmlformats.org/officeDocument/2006/relationships/hyperlink" Id="rId49" Target="https://prompt-to-prototype.com/security/ai-features/#what-must-we-disclose-and-are-we-bound-by-what-the-ai-says" TargetMode="External" /><Relationship Type="http://schemas.openxmlformats.org/officeDocument/2006/relationships/hyperlink" Id="rId73" Target="https://prompt-to-prototype.com/security/exposed-data-and-secrets/" TargetMode="External" /><Relationship Type="http://schemas.openxmlformats.org/officeDocument/2006/relationships/hyperlink" Id="rId32" Target="https://prompt-to-prototype.com/security/exposed-data-and-secrets/#how-to-test-your-app-no-developer-needed" TargetMode="External" /><Relationship Type="http://schemas.openxmlformats.org/officeDocument/2006/relationships/hyperlink" Id="rId35" Target="https://prompt-to-prototype.com/security/exposed-data-and-secrets/#secrets" TargetMode="External" /><Relationship Type="http://schemas.openxmlformats.org/officeDocument/2006/relationships/hyperlink" Id="rId14" Target="https://prompt-to-prototype.com/security/security-checklist.csv" TargetMode="External" /><Relationship Type="http://schemas.openxmlformats.org/officeDocument/2006/relationships/hyperlink" Id="rId51" Target="https://prompt-to-prototype.com/worksheets/app-record-template/" TargetMode="External" /><Relationship Type="http://schemas.openxmlformats.org/officeDocument/2006/relationships/hyperlink" Id="rId67" Target="https://prompt-to-prototype.com/worksheets/decision-record-template/" TargetMode="External" /><Relationship Type="http://schemas.openxmlformats.org/officeDocument/2006/relationships/hyperlink" Id="rId74" Target="https://upguard.com/breaches/power-apps" TargetMode="External" /><Relationship Type="http://schemas.openxmlformats.org/officeDocument/2006/relationships/hyperlink" Id="rId100" Target="https://uwaterloo.ca/library/aoda-toolkit/node/15" TargetMode="External" /><Relationship Type="http://schemas.openxmlformats.org/officeDocument/2006/relationships/hyperlink" Id="rId108" Target="https://webaim.org/projects/million/" TargetMode="External" /><Relationship Type="http://schemas.openxmlformats.org/officeDocument/2006/relationships/hyperlink" Id="rId92" Target="https://www.access-board.gov/ict/" TargetMode="External" /><Relationship Type="http://schemas.openxmlformats.org/officeDocument/2006/relationships/hyperlink" Id="rId82" Target="https://www.ada.gov/resources/web-guidance/" TargetMode="External" /><Relationship Type="http://schemas.openxmlformats.org/officeDocument/2006/relationships/hyperlink" Id="rId90" Target="https://www.federalregister.gov/d/2026-07663" TargetMode="External" /><Relationship Type="http://schemas.openxmlformats.org/officeDocument/2006/relationships/hyperlink" Id="rId94" Target="https://www.federalregister.gov/d/2026-09266" TargetMode="External" /><Relationship Type="http://schemas.openxmlformats.org/officeDocument/2006/relationships/hyperlink" Id="rId88" Target="https://www.law.cornell.edu/uscode/text/42/12112" TargetMode="External" /><Relationship Type="http://schemas.openxmlformats.org/officeDocument/2006/relationships/hyperlink" Id="rId98" Target="https://www.ontario.ca/page/how-make-websites-accessible" TargetMode="External" /><Relationship Type="http://schemas.openxmlformats.org/officeDocument/2006/relationships/hyperlink" Id="rId104" Target="https://www.w3.org/TR/WCAG22/" TargetMode="External" /><Relationship Type="http://schemas.openxmlformats.org/officeDocument/2006/relationships/hyperlink" Id="rId106" Target="https://www.w3.org/WAI/standards-guidelines/wcag/new-in-22/" TargetMode="External" /><Relationship Type="http://schemas.openxmlformats.org/officeDocument/2006/relationships/hyperlink" Id="rId78" Target="https://www.zaproxy.org/docs/docker/baseline-sca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0</TotalTime>
  <ScaleCrop>false</ScaleCrop>
  <Characters>475</Characters>
  <Paragraphs>8</Paragraphs>
  <Pages>1</Pages>
  <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Make a vibe-coded app production ready</dc:title>
  <dc:subject>A go-live checklist for taking a vibe-coded app from prototype to supported business use: owner, access, data, testing, hosting, docs and support.</dc:subject>
  <dc:creator>Prompt to Prototype</dc:creator>
  <cp:keywords/>
  <dc:description>https://prompt-to-prototype.com/lifecycle/production-ready/ Licensed CC BY-SA 4.0.</dc:description>
  <cp:lastModifiedBy/>
  <dcterms:created xsi:type="dcterms:W3CDTF">2026-10-22T00:00:00Z</dcterms:created>
  <dcterms:modified xsi:type="dcterms:W3CDTF">2026-10-22T00:00:00Z</dcterms:modified>
</cp:coreProperties>
</file>

<file path=docProps/custom.xml><?xml version="1.0" encoding="utf-8"?>
<Properties xmlns="http://schemas.openxmlformats.org/officeDocument/2006/custom-properties" xmlns:vt="http://schemas.openxmlformats.org/officeDocument/2006/docPropsVTypes"/>
</file>