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53" w:name="risk-tier-workshop-for-existing-apps"/>
    <w:p>
      <w:pPr>
        <w:pStyle w:val="Heading1"/>
      </w:pPr>
      <w:r>
        <w:rPr>
          <w:lang w:val="en"/>
        </w:rPr>
        <w:t xml:space="preserve">Risk tier workshop for existing apps</w:t>
      </w:r>
    </w:p>
    <w:p>
      <w:pPr>
        <w:pStyle w:val="FirstParagraph"/>
      </w:pPr>
      <w:hyperlink r:id="rId9">
        <w:r>
          <w:rPr>
            <w:rStyle w:val="Hyperlink"/>
            <w:lang w:val="en"/>
          </w:rPr>
          <w:t xml:space="preserve">https://prompt-to-prototype.com/worksheets/risk-classification-workshop/</w:t>
        </w:r>
      </w:hyperlink>
      <w:r>
        <w:rPr>
          <w:lang w:val="en"/>
        </w:rPr>
        <w:t xml:space="preserve"> </w:t>
      </w:r>
      <w:r>
        <w:rPr>
          <w:lang w:val="en"/>
        </w:rPr>
        <w:t xml:space="preserve">· as of 2026-10-22</w:t>
      </w:r>
    </w:p>
    <w:p>
      <w:pPr>
        <w:pStyle w:val="BodyText"/>
      </w:pPr>
      <w:r>
        <w:rPr>
          <w:lang w:val="en"/>
        </w:rPr>
        <w:t xml:space="preserve">A 90-minute session that takes a list of discovered apps and produces a tier, a provisional owner and a next action (register, fix or retire) for each, ready to load into the registry. It applies the six tier questions to apps that already exist, answer by answer, with no scoring. Expect about 3–4 minutes per app, so 12–15 apps per session. Downgrade requests and disputes are recorded and routed, not settled in the room.</w:t>
      </w:r>
    </w:p>
    <w:p>
      <w:pPr>
        <w:pStyle w:val="BodyText"/>
      </w:pPr>
      <w:r>
        <w:rPr>
          <w:b/>
          <w:bCs/>
          <w:lang w:val="en"/>
        </w:rPr>
        <w:t xml:space="preserve">Who this is for</w:t>
      </w:r>
    </w:p>
    <w:p>
      <w:pPr>
        <w:pStyle w:val="BodyText"/>
      </w:pPr>
      <w:r>
        <w:rPr>
          <w:lang w:val="en"/>
        </w:rPr>
        <w:t xml:space="preserve">IT managers and enablement leads running the triage of apps found by discovery or an amnesty. You get inputs, attendees, an agenda, a recording sheet and the outputs to load. Reading time: about 10 minutes; the session itself is 90 minutes.</w:t>
      </w:r>
    </w:p>
    <w:p>
      <w:pPr>
        <w:pStyle w:val="BodyText"/>
      </w:pPr>
      <w:r>
        <w:rPr>
          <w:lang w:val="en"/>
        </w:rPr>
        <w:t xml:space="preserve">The tier model itself is on</w:t>
      </w:r>
      <w:r>
        <w:rPr>
          <w:lang w:val="en"/>
        </w:rPr>
        <w:t xml:space="preserve"> </w:t>
      </w:r>
      <w:hyperlink r:id="rId10">
        <w:r>
          <w:rPr>
            <w:rStyle w:val="Hyperlink"/>
            <w:lang w:val="en"/>
          </w:rPr>
          <w:t xml:space="preserve">risk tiers for worker-built apps</w:t>
        </w:r>
      </w:hyperlink>
      <w:r>
        <w:rPr>
          <w:lang w:val="en"/>
        </w:rPr>
        <w:t xml:space="preserve">. This worksheet is how to apply it to a batch.</w:t>
      </w:r>
    </w:p>
    <w:bookmarkStart w:id="17" w:name="inputs"/>
    <w:p>
      <w:pPr>
        <w:pStyle w:val="Heading2"/>
      </w:pPr>
      <w:r>
        <w:rPr>
          <w:lang w:val="en"/>
        </w:rPr>
        <w:t xml:space="preserve">Inputs</w:t>
      </w:r>
    </w:p>
    <w:p>
      <w:pPr>
        <w:pStyle w:val="FirstParagraph"/>
      </w:pPr>
      <w:r>
        <w:rPr>
          <w:lang w:val="en"/>
        </w:rPr>
        <w:t xml:space="preserve">Circulate these two working days before the session:</w:t>
      </w:r>
    </w:p>
    <w:p>
      <w:pPr>
        <w:pStyle w:val="Compact"/>
        <w:numPr>
          <w:ilvl w:val="0"/>
          <w:numId w:val="1001"/>
        </w:numPr>
      </w:pPr>
      <w:r>
        <w:rPr>
          <w:lang w:val="en"/>
        </w:rPr>
        <w:t xml:space="preserve">The list of discovered apps, from</w:t>
      </w:r>
      <w:r>
        <w:rPr>
          <w:lang w:val="en"/>
        </w:rPr>
        <w:t xml:space="preserve"> </w:t>
      </w:r>
      <w:hyperlink r:id="rId11">
        <w:r>
          <w:rPr>
            <w:rStyle w:val="Hyperlink"/>
            <w:lang w:val="en"/>
          </w:rPr>
          <w:t xml:space="preserve">finding existing apps</w:t>
        </w:r>
      </w:hyperlink>
      <w:r>
        <w:rPr>
          <w:lang w:val="en"/>
        </w:rPr>
        <w:t xml:space="preserve">: name, platform, builder, sharing or user count, data sources, whether it's reachable from the internet, whether it calls an AI model (including a tool's built-in AI features, such as an AI formula in a spreadsheet or an AI step in a workflow tool), and any OAuth grants, tokens or service identities held by agents and automations (with whether each token can be scoped).</w:t>
      </w:r>
    </w:p>
    <w:p>
      <w:pPr>
        <w:pStyle w:val="Compact"/>
        <w:numPr>
          <w:ilvl w:val="0"/>
          <w:numId w:val="1002"/>
        </w:numPr>
      </w:pPr>
      <w:r>
        <w:rPr>
          <w:lang w:val="en"/>
        </w:rPr>
        <w:t xml:space="preserve">The recording sheet below, pre-filled with one row per app.</w:t>
      </w:r>
    </w:p>
    <w:p>
      <w:pPr>
        <w:pStyle w:val="Compact"/>
        <w:numPr>
          <w:ilvl w:val="0"/>
          <w:numId w:val="1003"/>
        </w:numPr>
      </w:pPr>
      <w:r>
        <w:rPr>
          <w:lang w:val="en"/>
        </w:rPr>
        <w:t xml:space="preserve">The six tier questions and two flags, printed in full from</w:t>
      </w:r>
      <w:r>
        <w:rPr>
          <w:lang w:val="en"/>
        </w:rPr>
        <w:t xml:space="preserve"> </w:t>
      </w:r>
      <w:hyperlink r:id="rId12">
        <w:r>
          <w:rPr>
            <w:rStyle w:val="Hyperlink"/>
            <w:lang w:val="en"/>
          </w:rPr>
          <w:t xml:space="preserve">the six tier questions</w:t>
        </w:r>
      </w:hyperlink>
      <w:r>
        <w:rPr>
          <w:lang w:val="en"/>
        </w:rPr>
        <w:t xml:space="preserve">. The</w:t>
      </w:r>
      <w:r>
        <w:rPr>
          <w:lang w:val="en"/>
        </w:rPr>
        <w:t xml:space="preserve"> </w:t>
      </w:r>
      <w:hyperlink r:id="rId13">
        <w:r>
          <w:rPr>
            <w:rStyle w:val="Hyperlink"/>
            <w:lang w:val="en"/>
          </w:rPr>
          <w:t xml:space="preserve">intake form's plain-text version</w:t>
        </w:r>
      </w:hyperlink>
      <w:r>
        <w:rPr>
          <w:lang w:val="en"/>
        </w:rPr>
        <w:t xml:space="preserve"> </w:t>
      </w:r>
      <w:r>
        <w:rPr>
          <w:lang w:val="en"/>
        </w:rPr>
        <w:t xml:space="preserve">prints well.</w:t>
      </w:r>
    </w:p>
    <w:p>
      <w:pPr>
        <w:pStyle w:val="Compact"/>
        <w:numPr>
          <w:ilvl w:val="0"/>
          <w:numId w:val="1004"/>
        </w:numPr>
      </w:pPr>
      <w:r>
        <w:rPr>
          <w:lang w:val="en"/>
        </w:rPr>
        <w:t xml:space="preserve">The</w:t>
      </w:r>
      <w:r>
        <w:rPr>
          <w:lang w:val="en"/>
        </w:rPr>
        <w:t xml:space="preserve"> </w:t>
      </w:r>
      <w:hyperlink r:id="rId14">
        <w:r>
          <w:rPr>
            <w:rStyle w:val="Hyperlink"/>
            <w:lang w:val="en"/>
          </w:rPr>
          <w:t xml:space="preserve">approved-tools list</w:t>
        </w:r>
      </w:hyperlink>
      <w:r>
        <w:rPr>
          <w:lang w:val="en"/>
        </w:rPr>
        <w:t xml:space="preserve">, by data class, including each tool's built-in AI features, so the room can check the AI approval gate.</w:t>
      </w:r>
    </w:p>
    <w:p>
      <w:pPr>
        <w:pStyle w:val="Compact"/>
        <w:numPr>
          <w:ilvl w:val="0"/>
          <w:numId w:val="1005"/>
        </w:numPr>
      </w:pPr>
      <w:r>
        <w:rPr>
          <w:lang w:val="en"/>
        </w:rPr>
        <w:t xml:space="preserve">The list of downgrade signers and exception approvers (enablement lead, security reviewer, IT/platform owner, technical reviewers for standard downgrade 3) and the counsel and compliance contacts (see</w:t>
      </w:r>
      <w:r>
        <w:rPr>
          <w:lang w:val="en"/>
        </w:rPr>
        <w:t xml:space="preserve"> </w:t>
      </w:r>
      <w:hyperlink r:id="rId15">
        <w:r>
          <w:rPr>
            <w:rStyle w:val="Hyperlink"/>
            <w:lang w:val="en"/>
          </w:rPr>
          <w:t xml:space="preserve">the counsel route</w:t>
        </w:r>
      </w:hyperlink>
      <w:r>
        <w:rPr>
          <w:lang w:val="en"/>
        </w:rPr>
        <w:t xml:space="preserve">).</w:t>
      </w:r>
    </w:p>
    <w:p>
      <w:pPr>
        <w:pStyle w:val="Compact"/>
        <w:numPr>
          <w:ilvl w:val="0"/>
          <w:numId w:val="1006"/>
        </w:numPr>
      </w:pPr>
      <w:r>
        <w:rPr>
          <w:lang w:val="en"/>
        </w:rPr>
        <w:t xml:space="preserve">One worked case from the</w:t>
      </w:r>
      <w:r>
        <w:rPr>
          <w:lang w:val="en"/>
        </w:rPr>
        <w:t xml:space="preserve"> </w:t>
      </w:r>
      <w:hyperlink r:id="rId16">
        <w:r>
          <w:rPr>
            <w:rStyle w:val="Hyperlink"/>
            <w:lang w:val="en"/>
          </w:rPr>
          <w:t xml:space="preserve">worked test cases</w:t>
        </w:r>
      </w:hyperlink>
      <w:r>
        <w:rPr>
          <w:lang w:val="en"/>
        </w:rPr>
        <w:t xml:space="preserve"> </w:t>
      </w:r>
      <w:r>
        <w:rPr>
          <w:lang w:val="en"/>
        </w:rPr>
        <w:t xml:space="preserve">to calibrate on.</w:t>
      </w:r>
    </w:p>
    <w:p>
      <w:pPr>
        <w:pStyle w:val="FirstParagraph"/>
      </w:pPr>
      <w:r>
        <w:rPr>
          <w:lang w:val="en"/>
        </w:rPr>
        <w:t xml:space="preserve">If the list is longer than 15 apps, split it by department or platform rather than rushing answers.</w:t>
      </w:r>
    </w:p>
    <w:bookmarkEnd w:id="17"/>
    <w:bookmarkStart w:id="19" w:name="who-to-invite"/>
    <w:p>
      <w:pPr>
        <w:pStyle w:val="Heading2"/>
      </w:pPr>
      <w:r>
        <w:rPr>
          <w:lang w:val="en"/>
        </w:rPr>
        <w:t xml:space="preserve">Who to invite</w:t>
      </w:r>
    </w:p>
    <w:p>
      <w:pPr>
        <w:pStyle w:val="FirstParagraph"/>
      </w:pPr>
      <w:r>
        <w:rPr>
          <w:lang w:val="en"/>
        </w:rPr>
        <w:t xml:space="preserve">The first three roles are the minimum; without them, don't run the session. One person can hold more than one role (see</w:t>
      </w:r>
      <w:r>
        <w:rPr>
          <w:lang w:val="en"/>
        </w:rPr>
        <w:t xml:space="preserve"> </w:t>
      </w:r>
      <w:hyperlink r:id="rId18">
        <w:r>
          <w:rPr>
            <w:rStyle w:val="Hyperlink"/>
            <w:lang w:val="en"/>
          </w:rPr>
          <w:t xml:space="preserve">when one person holds several roles</w:t>
        </w:r>
      </w:hyperlink>
      <w:r>
        <w:rPr>
          <w:lang w:val="en"/>
        </w:rP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rPr>
                <w:lang w:val="en"/>
              </w:rPr>
              <w:t xml:space="preserve">Role</w:t>
            </w:r>
          </w:p>
        </w:tc>
        <w:tc>
          <w:tcPr/>
          <w:p>
            <w:pPr>
              <w:pStyle w:val="Compact"/>
            </w:pPr>
            <w:r>
              <w:rPr>
                <w:lang w:val="en"/>
              </w:rPr>
              <w:t xml:space="preserve">Needed?</w:t>
            </w:r>
          </w:p>
        </w:tc>
        <w:tc>
          <w:tcPr/>
          <w:p>
            <w:pPr>
              <w:pStyle w:val="Compact"/>
            </w:pPr>
            <w:r>
              <w:rPr>
                <w:lang w:val="en"/>
              </w:rPr>
              <w:t xml:space="preserve">Why they're there</w:t>
            </w:r>
          </w:p>
        </w:tc>
      </w:tr>
      <w:tr>
        <w:tc>
          <w:tcPr/>
          <w:p>
            <w:pPr>
              <w:pStyle w:val="Compact"/>
            </w:pPr>
            <w:r>
              <w:rPr>
                <w:lang w:val="en"/>
              </w:rPr>
              <w:t xml:space="preserve">Enablement lead (facilitator)</w:t>
            </w:r>
          </w:p>
        </w:tc>
        <w:tc>
          <w:tcPr/>
          <w:p>
            <w:pPr>
              <w:pStyle w:val="Compact"/>
            </w:pPr>
            <w:r>
              <w:rPr>
                <w:b/>
                <w:bCs/>
                <w:lang w:val="en"/>
              </w:rPr>
              <w:t xml:space="preserve">minimum</w:t>
            </w:r>
          </w:p>
        </w:tc>
        <w:tc>
          <w:tcPr/>
          <w:p>
            <w:pPr>
              <w:pStyle w:val="Compact"/>
            </w:pPr>
            <w:r>
              <w:rPr>
                <w:lang w:val="en"/>
              </w:rPr>
              <w:t xml:space="preserve">Runs the session; owns the registry load</w:t>
            </w:r>
          </w:p>
        </w:tc>
      </w:tr>
      <w:tr>
        <w:tc>
          <w:tcPr/>
          <w:p>
            <w:pPr>
              <w:pStyle w:val="Compact"/>
            </w:pPr>
            <w:r>
              <w:rPr>
                <w:lang w:val="en"/>
              </w:rPr>
              <w:t xml:space="preserve">Technical reviewer</w:t>
            </w:r>
          </w:p>
        </w:tc>
        <w:tc>
          <w:tcPr/>
          <w:p>
            <w:pPr>
              <w:pStyle w:val="Compact"/>
            </w:pPr>
            <w:r>
              <w:rPr>
                <w:b/>
                <w:bCs/>
                <w:lang w:val="en"/>
              </w:rPr>
              <w:t xml:space="preserve">minimum</w:t>
            </w:r>
          </w:p>
        </w:tc>
        <w:tc>
          <w:tcPr/>
          <w:p>
            <w:pPr>
              <w:pStyle w:val="Compact"/>
            </w:pPr>
            <w:r>
              <w:rPr>
                <w:lang w:val="en"/>
              </w:rPr>
              <w:t xml:space="preserve">Answers Q3 (reach) and Q6 (actions) from platform settings and grants; checks the trifecta legs</w:t>
            </w:r>
          </w:p>
        </w:tc>
      </w:tr>
      <w:tr>
        <w:tc>
          <w:tcPr/>
          <w:p>
            <w:pPr>
              <w:pStyle w:val="Compact"/>
            </w:pPr>
            <w:r>
              <w:rPr>
                <w:lang w:val="en"/>
              </w:rPr>
              <w:t xml:space="preserve">A business representative for each area in the batch</w:t>
            </w:r>
          </w:p>
        </w:tc>
        <w:tc>
          <w:tcPr/>
          <w:p>
            <w:pPr>
              <w:pStyle w:val="Compact"/>
            </w:pPr>
            <w:r>
              <w:rPr>
                <w:b/>
                <w:bCs/>
                <w:lang w:val="en"/>
              </w:rPr>
              <w:t xml:space="preserve">minimum</w:t>
            </w:r>
          </w:p>
        </w:tc>
        <w:tc>
          <w:tcPr/>
          <w:p>
            <w:pPr>
              <w:pStyle w:val="Compact"/>
            </w:pPr>
            <w:r>
              <w:rPr>
                <w:lang w:val="en"/>
              </w:rPr>
              <w:t xml:space="preserve">Answers Q2 (users), Q4 (dependence) and Q5 (decisions about people); proposes owners</w:t>
            </w:r>
          </w:p>
        </w:tc>
      </w:tr>
      <w:tr>
        <w:tc>
          <w:tcPr/>
          <w:p>
            <w:pPr>
              <w:pStyle w:val="Compact"/>
            </w:pPr>
            <w:r>
              <w:rPr>
                <w:lang w:val="en"/>
              </w:rPr>
              <w:t xml:space="preserve">Security reviewer</w:t>
            </w:r>
          </w:p>
        </w:tc>
        <w:tc>
          <w:tcPr/>
          <w:p>
            <w:pPr>
              <w:pStyle w:val="Compact"/>
            </w:pPr>
            <w:r>
              <w:rPr>
                <w:lang w:val="en"/>
              </w:rPr>
              <w:t xml:space="preserve">recommended</w:t>
            </w:r>
          </w:p>
        </w:tc>
        <w:tc>
          <w:tcPr/>
          <w:p>
            <w:pPr>
              <w:pStyle w:val="Compact"/>
            </w:pPr>
            <w:r>
              <w:rPr>
                <w:lang w:val="en"/>
              </w:rPr>
              <w:t xml:space="preserve">Checks the floors; flags Critical candidates. The session can run without one: the technical reviewer checks the floors, and Critical candidates are held at their current scope until a named security reviewer has seen them (see</w:t>
            </w:r>
            <w:r>
              <w:rPr>
                <w:lang w:val="en"/>
              </w:rPr>
              <w:t xml:space="preserve"> </w:t>
            </w:r>
            <w:hyperlink r:id="rId18">
              <w:r>
                <w:rPr>
                  <w:rStyle w:val="Hyperlink"/>
                  <w:lang w:val="en"/>
                </w:rPr>
                <w:t xml:space="preserve">minimum staffing</w:t>
              </w:r>
            </w:hyperlink>
            <w:r>
              <w:rPr>
                <w:lang w:val="en"/>
              </w:rPr>
              <w:t xml:space="preserve">)</w:t>
            </w:r>
          </w:p>
        </w:tc>
      </w:tr>
      <w:tr>
        <w:tc>
          <w:tcPr/>
          <w:p>
            <w:pPr>
              <w:pStyle w:val="Compact"/>
            </w:pPr>
            <w:r>
              <w:rPr>
                <w:lang w:val="en"/>
              </w:rPr>
              <w:t xml:space="preserve">Data owners or the privacy officer for the data in the batch</w:t>
            </w:r>
          </w:p>
        </w:tc>
        <w:tc>
          <w:tcPr/>
          <w:p>
            <w:pPr>
              <w:pStyle w:val="Compact"/>
            </w:pPr>
            <w:r>
              <w:rPr>
                <w:lang w:val="en"/>
              </w:rPr>
              <w:t xml:space="preserve">if the batch has Q1(c) or (d) data</w:t>
            </w:r>
          </w:p>
        </w:tc>
        <w:tc>
          <w:tcPr/>
          <w:p>
            <w:pPr>
              <w:pStyle w:val="Compact"/>
            </w:pPr>
            <w:r>
              <w:rPr>
                <w:lang w:val="en"/>
              </w:rPr>
              <w:t xml:space="preserve">Answers Q1 (data) where the class isn't obvious</w:t>
            </w:r>
          </w:p>
        </w:tc>
      </w:tr>
      <w:tr>
        <w:tc>
          <w:tcPr/>
          <w:p>
            <w:pPr>
              <w:pStyle w:val="Compact"/>
            </w:pPr>
            <w:r>
              <w:rPr>
                <w:lang w:val="en"/>
              </w:rPr>
              <w:t xml:space="preserve">IT/platform owner</w:t>
            </w:r>
          </w:p>
        </w:tc>
        <w:tc>
          <w:tcPr/>
          <w:p>
            <w:pPr>
              <w:pStyle w:val="Compact"/>
            </w:pPr>
            <w:r>
              <w:rPr>
                <w:lang w:val="en"/>
              </w:rPr>
              <w:t xml:space="preserve">for the Critical candidates segment</w:t>
            </w:r>
          </w:p>
        </w:tc>
        <w:tc>
          <w:tcPr/>
          <w:p>
            <w:pPr>
              <w:pStyle w:val="Compact"/>
            </w:pPr>
            <w:r>
              <w:rPr>
                <w:lang w:val="en"/>
              </w:rPr>
              <w:t xml:space="preserve">Hears graduation needs</w:t>
            </w:r>
          </w:p>
        </w:tc>
      </w:tr>
    </w:tbl>
    <w:p>
      <w:pPr>
        <w:pStyle w:val="BodyText"/>
      </w:pPr>
      <w:r>
        <w:rPr>
          <w:lang w:val="en"/>
        </w:rPr>
        <w:t xml:space="preserve">Builders don't need to attend, but keep them reachable for questions.</w:t>
      </w:r>
    </w:p>
    <w:bookmarkEnd w:id="19"/>
    <w:bookmarkStart w:id="20" w:name="agenda-90-minutes"/>
    <w:p>
      <w:pPr>
        <w:pStyle w:val="Heading2"/>
      </w:pPr>
      <w:r>
        <w:rPr>
          <w:lang w:val="en"/>
        </w:rPr>
        <w:t xml:space="preserve">Agenda (90 minutes)</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rPr>
                <w:lang w:val="en"/>
              </w:rPr>
              <w:t xml:space="preserve">Time</w:t>
            </w:r>
          </w:p>
        </w:tc>
        <w:tc>
          <w:tcPr/>
          <w:p>
            <w:pPr>
              <w:pStyle w:val="Compact"/>
            </w:pPr>
            <w:r>
              <w:rPr>
                <w:lang w:val="en"/>
              </w:rPr>
              <w:t xml:space="preserve">Segment</w:t>
            </w:r>
          </w:p>
        </w:tc>
        <w:tc>
          <w:tcPr/>
          <w:p>
            <w:pPr>
              <w:pStyle w:val="Compact"/>
            </w:pPr>
            <w:r>
              <w:rPr>
                <w:lang w:val="en"/>
              </w:rPr>
              <w:t xml:space="preserve">Output</w:t>
            </w:r>
          </w:p>
        </w:tc>
      </w:tr>
      <w:tr>
        <w:tc>
          <w:tcPr/>
          <w:p>
            <w:pPr>
              <w:pStyle w:val="Compact"/>
            </w:pPr>
            <w:r>
              <w:rPr>
                <w:lang w:val="en"/>
              </w:rPr>
              <w:t xml:space="preserve">0–10</w:t>
            </w:r>
          </w:p>
        </w:tc>
        <w:tc>
          <w:tcPr/>
          <w:p>
            <w:pPr>
              <w:pStyle w:val="Compact"/>
            </w:pPr>
            <w:r>
              <w:rPr>
                <w:lang w:val="en"/>
              </w:rPr>
              <w:t xml:space="preserve">Calibrate: walk one worked case through all six questions</w:t>
            </w:r>
          </w:p>
        </w:tc>
        <w:tc>
          <w:tcPr/>
          <w:p>
            <w:pPr>
              <w:pStyle w:val="Compact"/>
            </w:pPr>
            <w:r>
              <w:rPr>
                <w:lang w:val="en"/>
              </w:rPr>
              <w:t xml:space="preserve">Shared reading of the wording</w:t>
            </w:r>
          </w:p>
        </w:tc>
      </w:tr>
      <w:tr>
        <w:tc>
          <w:tcPr/>
          <w:p>
            <w:pPr>
              <w:pStyle w:val="Compact"/>
            </w:pPr>
            <w:r>
              <w:rPr>
                <w:lang w:val="en"/>
              </w:rPr>
              <w:t xml:space="preserve">10–60</w:t>
            </w:r>
          </w:p>
        </w:tc>
        <w:tc>
          <w:tcPr/>
          <w:p>
            <w:pPr>
              <w:pStyle w:val="Compact"/>
            </w:pPr>
            <w:r>
              <w:rPr>
                <w:lang w:val="en"/>
              </w:rPr>
              <w:t xml:space="preserve">The six-question pass, one app at a time (about 3–4 minutes each)</w:t>
            </w:r>
          </w:p>
        </w:tc>
        <w:tc>
          <w:tcPr/>
          <w:p>
            <w:pPr>
              <w:pStyle w:val="Compact"/>
            </w:pPr>
            <w:r>
              <w:rPr>
                <w:lang w:val="en"/>
              </w:rPr>
              <w:t xml:space="preserve">Six answers and both flags per app</w:t>
            </w:r>
          </w:p>
        </w:tc>
      </w:tr>
      <w:tr>
        <w:tc>
          <w:tcPr/>
          <w:p>
            <w:pPr>
              <w:pStyle w:val="Compact"/>
            </w:pPr>
            <w:r>
              <w:rPr>
                <w:lang w:val="en"/>
              </w:rPr>
              <w:t xml:space="preserve">60–70</w:t>
            </w:r>
          </w:p>
        </w:tc>
        <w:tc>
          <w:tcPr/>
          <w:p>
            <w:pPr>
              <w:pStyle w:val="Compact"/>
            </w:pPr>
            <w:r>
              <w:rPr>
                <w:lang w:val="en"/>
              </w:rPr>
              <w:t xml:space="preserve">Floors check</w:t>
            </w:r>
          </w:p>
        </w:tc>
        <w:tc>
          <w:tcPr/>
          <w:p>
            <w:pPr>
              <w:pStyle w:val="Compact"/>
            </w:pPr>
            <w:r>
              <w:rPr>
                <w:lang w:val="en"/>
              </w:rPr>
              <w:t xml:space="preserve">List of floor breaches, each with an owner and a fix-by date</w:t>
            </w:r>
          </w:p>
        </w:tc>
      </w:tr>
      <w:tr>
        <w:tc>
          <w:tcPr/>
          <w:p>
            <w:pPr>
              <w:pStyle w:val="Compact"/>
            </w:pPr>
            <w:r>
              <w:rPr>
                <w:lang w:val="en"/>
              </w:rPr>
              <w:t xml:space="preserve">70–80</w:t>
            </w:r>
          </w:p>
        </w:tc>
        <w:tc>
          <w:tcPr/>
          <w:p>
            <w:pPr>
              <w:pStyle w:val="Compact"/>
            </w:pPr>
            <w:r>
              <w:rPr>
                <w:lang w:val="en"/>
              </w:rPr>
              <w:t xml:space="preserve">Owners and next actions</w:t>
            </w:r>
          </w:p>
        </w:tc>
        <w:tc>
          <w:tcPr/>
          <w:p>
            <w:pPr>
              <w:pStyle w:val="Compact"/>
            </w:pPr>
            <w:r>
              <w:rPr>
                <w:lang w:val="en"/>
              </w:rPr>
              <w:t xml:space="preserve">Provisional owner and register, fix or retire per app</w:t>
            </w:r>
          </w:p>
        </w:tc>
      </w:tr>
      <w:tr>
        <w:tc>
          <w:tcPr/>
          <w:p>
            <w:pPr>
              <w:pStyle w:val="Compact"/>
            </w:pPr>
            <w:r>
              <w:rPr>
                <w:lang w:val="en"/>
              </w:rPr>
              <w:t xml:space="preserve">80–90</w:t>
            </w:r>
          </w:p>
        </w:tc>
        <w:tc>
          <w:tcPr/>
          <w:p>
            <w:pPr>
              <w:pStyle w:val="Compact"/>
            </w:pPr>
            <w:r>
              <w:rPr>
                <w:lang w:val="en"/>
              </w:rPr>
              <w:t xml:space="preserve">Downgrade requests, disputes and gates</w:t>
            </w:r>
          </w:p>
        </w:tc>
        <w:tc>
          <w:tcPr/>
          <w:p>
            <w:pPr>
              <w:pStyle w:val="Compact"/>
            </w:pPr>
            <w:r>
              <w:rPr>
                <w:lang w:val="en"/>
              </w:rPr>
              <w:t xml:space="preserve">Routing list; follow-up dates</w:t>
            </w:r>
          </w:p>
        </w:tc>
      </w:tr>
    </w:tbl>
    <w:bookmarkEnd w:id="20"/>
    <w:bookmarkStart w:id="32" w:name="the-six-question-pass"/>
    <w:p>
      <w:pPr>
        <w:pStyle w:val="Heading2"/>
      </w:pPr>
      <w:r>
        <w:rPr>
          <w:lang w:val="en"/>
        </w:rPr>
        <w:t xml:space="preserve">The six-question pass</w:t>
      </w:r>
    </w:p>
    <w:p>
      <w:pPr>
        <w:pStyle w:val="FirstParagraph"/>
      </w:pPr>
      <w:r>
        <w:rPr>
          <w:lang w:val="en"/>
        </w:rPr>
        <w:t xml:space="preserve">For each app, answer every question for what the app</w:t>
      </w:r>
      <w:r>
        <w:rPr>
          <w:lang w:val="en"/>
        </w:rPr>
        <w:t xml:space="preserve"> </w:t>
      </w:r>
      <w:r>
        <w:rPr>
          <w:b/>
          <w:bCs/>
          <w:lang w:val="en"/>
        </w:rPr>
        <w:t xml:space="preserve">can</w:t>
      </w:r>
      <w:r>
        <w:rPr>
          <w:lang w:val="en"/>
        </w:rPr>
        <w:t xml:space="preserve"> </w:t>
      </w:r>
      <w:r>
        <w:rPr>
          <w:lang w:val="en"/>
        </w:rPr>
        <w:t xml:space="preserve">do with the data, reach and permissions it holds, not for what it's meant to do. For an agent or automation, answer for every permission it has been granted. If a token can't be scoped, answer for everything it can do, then note it for standard downgrade 3. Record the letter. Then take the</w:t>
      </w:r>
      <w:r>
        <w:rPr>
          <w:lang w:val="en"/>
        </w:rPr>
        <w:t xml:space="preserve"> </w:t>
      </w:r>
      <w:r>
        <w:rPr>
          <w:b/>
          <w:bCs/>
          <w:lang w:val="en"/>
        </w:rPr>
        <w:t xml:space="preserve">highest</w:t>
      </w:r>
      <w:r>
        <w:rPr>
          <w:lang w:val="en"/>
        </w:rPr>
        <w:t xml:space="preserve"> </w:t>
      </w:r>
      <w:r>
        <w:rPr>
          <w:lang w:val="en"/>
        </w:rPr>
        <w:t xml:space="preserve">answer or modifier as the tier. Never add, average or score the answers.</w:t>
      </w:r>
    </w:p>
    <w:p>
      <w:pPr>
        <w:pStyle w:val="BodyText"/>
      </w:pPr>
      <w:r>
        <w:rPr>
          <w:lang w:val="en"/>
        </w:rPr>
        <w:t xml:space="preserve">The question wording below is exact; the answer labels are short handles for the room. The full answer wording, which is what counts, is on</w:t>
      </w:r>
      <w:r>
        <w:rPr>
          <w:lang w:val="en"/>
        </w:rPr>
        <w:t xml:space="preserve"> </w:t>
      </w:r>
      <w:hyperlink r:id="rId12">
        <w:r>
          <w:rPr>
            <w:rStyle w:val="Hyperlink"/>
            <w:lang w:val="en"/>
          </w:rPr>
          <w:t xml:space="preserve">the six tier questions</w:t>
        </w:r>
      </w:hyperlink>
      <w:r>
        <w:rPr>
          <w:lang w:val="en"/>
        </w:rPr>
        <w:t xml:space="preserve">: print it and settle any doubt from it, not from the labels.</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rPr>
                <w:lang w:val="en"/>
              </w:rPr>
              <w:t xml:space="preserve">Question (exact wording)</w:t>
            </w:r>
          </w:p>
        </w:tc>
        <w:tc>
          <w:tcPr/>
          <w:p>
            <w:pPr>
              <w:pStyle w:val="Compact"/>
            </w:pPr>
            <w:r>
              <w:rPr>
                <w:lang w:val="en"/>
              </w:rPr>
              <w:t xml:space="preserve">Answer labels → tier</w:t>
            </w:r>
          </w:p>
        </w:tc>
      </w:tr>
      <w:tr>
        <w:tc>
          <w:tcPr/>
          <w:p>
            <w:pPr>
              <w:pStyle w:val="Compact"/>
            </w:pPr>
            <w:hyperlink r:id="rId21">
              <w:r>
                <w:rPr>
                  <w:rStyle w:val="Hyperlink"/>
                  <w:b/>
                  <w:bCs/>
                  <w:lang w:val="en"/>
                </w:rPr>
                <w:t xml:space="preserve">Q1. Data</w:t>
              </w:r>
            </w:hyperlink>
            <w:r>
              <w:rPr>
                <w:b/>
                <w:bCs/>
                <w:lang w:val="en"/>
              </w:rPr>
              <w:t xml:space="preserve">.</w:t>
            </w:r>
            <w:r>
              <w:rPr>
                <w:lang w:val="en"/>
              </w:rPr>
              <w:t xml:space="preserve"> </w:t>
            </w:r>
            <w:r>
              <w:rPr>
                <w:lang w:val="en"/>
              </w:rPr>
              <w:t xml:space="preserve">What's the most sensitive data the app reads, stores or sends?</w:t>
            </w:r>
          </w:p>
        </w:tc>
        <w:tc>
          <w:tcPr/>
          <w:p>
            <w:pPr>
              <w:pStyle w:val="Compact"/>
            </w:pPr>
            <w:r>
              <w:rPr>
                <w:lang w:val="en"/>
              </w:rPr>
              <w:t xml:space="preserve">(a) Public, or your own work files →</w:t>
            </w:r>
            <w:r>
              <w:rPr>
                <w:lang w:val="en"/>
              </w:rPr>
              <w:t xml:space="preserve"> </w:t>
            </w:r>
            <w:r>
              <w:rPr>
                <w:b/>
                <w:bCs/>
                <w:lang w:val="en"/>
              </w:rPr>
              <w:t xml:space="preserve">Sandbox</w:t>
            </w:r>
            <w:r>
              <w:rPr>
                <w:lang w:val="en"/>
              </w:rPr>
              <w:t xml:space="preserve"> </w:t>
            </w:r>
            <w:r>
              <w:rPr>
                <w:lang w:val="en"/>
              </w:rPr>
              <w:t xml:space="preserve">· (b) Internal →</w:t>
            </w:r>
            <w:r>
              <w:rPr>
                <w:lang w:val="en"/>
              </w:rPr>
              <w:t xml:space="preserve"> </w:t>
            </w:r>
            <w:r>
              <w:rPr>
                <w:b/>
                <w:bCs/>
                <w:lang w:val="en"/>
              </w:rPr>
              <w:t xml:space="preserve">Team</w:t>
            </w:r>
            <w:r>
              <w:rPr>
                <w:lang w:val="en"/>
              </w:rPr>
              <w:t xml:space="preserve"> </w:t>
            </w:r>
            <w:r>
              <w:rPr>
                <w:lang w:val="en"/>
              </w:rPr>
              <w:t xml:space="preserve">· (c) Confidential →</w:t>
            </w:r>
            <w:r>
              <w:rPr>
                <w:lang w:val="en"/>
              </w:rPr>
              <w:t xml:space="preserve"> </w:t>
            </w:r>
            <w:r>
              <w:rPr>
                <w:b/>
                <w:bCs/>
                <w:lang w:val="en"/>
              </w:rPr>
              <w:t xml:space="preserve">Important</w:t>
            </w:r>
            <w:r>
              <w:rPr>
                <w:lang w:val="en"/>
              </w:rPr>
              <w:t xml:space="preserve"> </w:t>
            </w:r>
            <w:r>
              <w:rPr>
                <w:lang w:val="en"/>
              </w:rPr>
              <w:t xml:space="preserve">· (d) Restricted →</w:t>
            </w:r>
            <w:r>
              <w:rPr>
                <w:lang w:val="en"/>
              </w:rPr>
              <w:t xml:space="preserve"> </w:t>
            </w:r>
            <w:r>
              <w:rPr>
                <w:b/>
                <w:bCs/>
                <w:lang w:val="en"/>
              </w:rPr>
              <w:t xml:space="preserve">Critical</w:t>
            </w:r>
            <w:r>
              <w:rPr>
                <w:lang w:val="en"/>
              </w:rPr>
              <w:t xml:space="preserve">. Note the</w:t>
            </w:r>
            <w:r>
              <w:rPr>
                <w:lang w:val="en"/>
              </w:rPr>
              <w:t xml:space="preserve"> </w:t>
            </w:r>
            <w:r>
              <w:rPr>
                <w:b/>
                <w:bCs/>
                <w:lang w:val="en"/>
              </w:rPr>
              <w:t xml:space="preserve">consent gate</w:t>
            </w:r>
            <w:r>
              <w:rPr>
                <w:lang w:val="en"/>
              </w:rPr>
              <w:t xml:space="preserve"> </w:t>
            </w:r>
            <w:r>
              <w:rPr>
                <w:lang w:val="en"/>
              </w:rPr>
              <w:t xml:space="preserve">(route to counsel before collecting)</w:t>
            </w:r>
          </w:p>
        </w:tc>
      </w:tr>
      <w:tr>
        <w:tc>
          <w:tcPr/>
          <w:p>
            <w:pPr>
              <w:pStyle w:val="Compact"/>
            </w:pPr>
            <w:hyperlink r:id="rId22">
              <w:r>
                <w:rPr>
                  <w:rStyle w:val="Hyperlink"/>
                  <w:b/>
                  <w:bCs/>
                  <w:lang w:val="en"/>
                </w:rPr>
                <w:t xml:space="preserve">Q2. Users</w:t>
              </w:r>
            </w:hyperlink>
            <w:r>
              <w:rPr>
                <w:b/>
                <w:bCs/>
                <w:lang w:val="en"/>
              </w:rPr>
              <w:t xml:space="preserve">.</w:t>
            </w:r>
            <w:r>
              <w:rPr>
                <w:lang w:val="en"/>
              </w:rPr>
              <w:t xml:space="preserve"> </w:t>
            </w:r>
            <w:r>
              <w:rPr>
                <w:lang w:val="en"/>
              </w:rPr>
              <w:t xml:space="preserve">Who uses it or relies on its output? People who only</w:t>
            </w:r>
            <w:r>
              <w:rPr>
                <w:lang w:val="en"/>
              </w:rPr>
              <w:t xml:space="preserve"> </w:t>
            </w:r>
            <w:r>
              <w:rPr>
                <w:i/>
                <w:iCs/>
                <w:lang w:val="en"/>
              </w:rPr>
              <w:t xml:space="preserve">receive messages</w:t>
            </w:r>
            <w:r>
              <w:rPr>
                <w:lang w:val="en"/>
              </w:rPr>
              <w:t xml:space="preserve"> </w:t>
            </w:r>
            <w:r>
              <w:rPr>
                <w:lang w:val="en"/>
              </w:rPr>
              <w:t xml:space="preserve">from it (reminders, notifications, emails, replies) are answered under Q6, not here.</w:t>
            </w:r>
          </w:p>
        </w:tc>
        <w:tc>
          <w:tcPr/>
          <w:p>
            <w:pPr>
              <w:pStyle w:val="Compact"/>
            </w:pPr>
            <w:r>
              <w:rPr>
                <w:lang w:val="en"/>
              </w:rPr>
              <w:t xml:space="preserve">(a) Only you →</w:t>
            </w:r>
            <w:r>
              <w:rPr>
                <w:lang w:val="en"/>
              </w:rPr>
              <w:t xml:space="preserve"> </w:t>
            </w:r>
            <w:r>
              <w:rPr>
                <w:b/>
                <w:bCs/>
                <w:lang w:val="en"/>
              </w:rPr>
              <w:t xml:space="preserve">Sandbox</w:t>
            </w:r>
            <w:r>
              <w:rPr>
                <w:lang w:val="en"/>
              </w:rPr>
              <w:t xml:space="preserve"> </w:t>
            </w:r>
            <w:r>
              <w:rPr>
                <w:lang w:val="en"/>
              </w:rPr>
              <w:t xml:space="preserve">· (b1) One team →</w:t>
            </w:r>
            <w:r>
              <w:rPr>
                <w:lang w:val="en"/>
              </w:rPr>
              <w:t xml:space="preserve"> </w:t>
            </w:r>
            <w:r>
              <w:rPr>
                <w:b/>
                <w:bCs/>
                <w:lang w:val="en"/>
              </w:rPr>
              <w:t xml:space="preserve">Team</w:t>
            </w:r>
            <w:r>
              <w:rPr>
                <w:lang w:val="en"/>
              </w:rPr>
              <w:t xml:space="preserve"> </w:t>
            </w:r>
            <w:r>
              <w:rPr>
                <w:lang w:val="en"/>
              </w:rPr>
              <w:t xml:space="preserve">· (b2) Several teams or the whole company, all inside the business →</w:t>
            </w:r>
            <w:r>
              <w:rPr>
                <w:lang w:val="en"/>
              </w:rPr>
              <w:t xml:space="preserve"> </w:t>
            </w:r>
            <w:r>
              <w:rPr>
                <w:b/>
                <w:bCs/>
                <w:lang w:val="en"/>
              </w:rPr>
              <w:t xml:space="preserve">Team</w:t>
            </w:r>
            <w:r>
              <w:rPr>
                <w:lang w:val="en"/>
              </w:rPr>
              <w:t xml:space="preserve"> </w:t>
            </w:r>
            <w:r>
              <w:rPr>
                <w:lang w:val="en"/>
              </w:rPr>
              <w:t xml:space="preserve">· (c) Anyone outside the business →</w:t>
            </w:r>
            <w:r>
              <w:rPr>
                <w:lang w:val="en"/>
              </w:rPr>
              <w:t xml:space="preserve"> </w:t>
            </w:r>
            <w:r>
              <w:rPr>
                <w:b/>
                <w:bCs/>
                <w:lang w:val="en"/>
              </w:rPr>
              <w:t xml:space="preserve">Important</w:t>
            </w:r>
          </w:p>
        </w:tc>
      </w:tr>
      <w:tr>
        <w:tc>
          <w:tcPr/>
          <w:p>
            <w:pPr>
              <w:pStyle w:val="Compact"/>
            </w:pPr>
            <w:hyperlink r:id="rId23">
              <w:r>
                <w:rPr>
                  <w:rStyle w:val="Hyperlink"/>
                  <w:b/>
                  <w:bCs/>
                  <w:lang w:val="en"/>
                </w:rPr>
                <w:t xml:space="preserve">Q3. Reach</w:t>
              </w:r>
            </w:hyperlink>
            <w:r>
              <w:rPr>
                <w:b/>
                <w:bCs/>
                <w:lang w:val="en"/>
              </w:rPr>
              <w:t xml:space="preserve">.</w:t>
            </w:r>
            <w:r>
              <w:rPr>
                <w:lang w:val="en"/>
              </w:rPr>
              <w:t xml:space="preserve"> </w:t>
            </w:r>
            <w:r>
              <w:rPr>
                <w:lang w:val="en"/>
              </w:rPr>
              <w:t xml:space="preserve">Can someone reach it from the internet without company sign-in?</w:t>
            </w:r>
          </w:p>
        </w:tc>
        <w:tc>
          <w:tcPr/>
          <w:p>
            <w:pPr>
              <w:pStyle w:val="Compact"/>
            </w:pPr>
            <w:r>
              <w:rPr>
                <w:lang w:val="en"/>
              </w:rPr>
              <w:t xml:space="preserve">(a) No →</w:t>
            </w:r>
            <w:r>
              <w:rPr>
                <w:lang w:val="en"/>
              </w:rPr>
              <w:t xml:space="preserve"> </w:t>
            </w:r>
            <w:r>
              <w:rPr>
                <w:b/>
                <w:bCs/>
                <w:lang w:val="en"/>
              </w:rPr>
              <w:t xml:space="preserve">Sandbox</w:t>
            </w:r>
            <w:r>
              <w:rPr>
                <w:lang w:val="en"/>
              </w:rPr>
              <w:t xml:space="preserve"> </w:t>
            </w:r>
            <w:r>
              <w:rPr>
                <w:lang w:val="en"/>
              </w:rPr>
              <w:t xml:space="preserve">· (b) Yes →</w:t>
            </w:r>
            <w:r>
              <w:rPr>
                <w:lang w:val="en"/>
              </w:rPr>
              <w:t xml:space="preserve"> </w:t>
            </w:r>
            <w:r>
              <w:rPr>
                <w:b/>
                <w:bCs/>
                <w:lang w:val="en"/>
              </w:rPr>
              <w:t xml:space="preserve">Important</w:t>
            </w:r>
            <w:r>
              <w:rPr>
                <w:lang w:val="en"/>
              </w:rPr>
              <w:t xml:space="preserve">, on an approved public-facing hosting pattern only</w:t>
            </w:r>
          </w:p>
        </w:tc>
      </w:tr>
      <w:tr>
        <w:tc>
          <w:tcPr/>
          <w:p>
            <w:pPr>
              <w:pStyle w:val="Compact"/>
            </w:pPr>
            <w:hyperlink r:id="rId24">
              <w:r>
                <w:rPr>
                  <w:rStyle w:val="Hyperlink"/>
                  <w:b/>
                  <w:bCs/>
                  <w:lang w:val="en"/>
                </w:rPr>
                <w:t xml:space="preserve">Q4. Dependence</w:t>
              </w:r>
            </w:hyperlink>
            <w:r>
              <w:rPr>
                <w:b/>
                <w:bCs/>
                <w:lang w:val="en"/>
              </w:rPr>
              <w:t xml:space="preserve">.</w:t>
            </w:r>
            <w:r>
              <w:rPr>
                <w:lang w:val="en"/>
              </w:rPr>
              <w:t xml:space="preserve"> </w:t>
            </w:r>
            <w:r>
              <w:rPr>
                <w:lang w:val="en"/>
              </w:rPr>
              <w:t xml:space="preserve">What happens if it stops, or gives wrong results, for a day?</w:t>
            </w:r>
          </w:p>
        </w:tc>
        <w:tc>
          <w:tcPr/>
          <w:p>
            <w:pPr>
              <w:pStyle w:val="Compact"/>
            </w:pPr>
            <w:r>
              <w:rPr>
                <w:lang w:val="en"/>
              </w:rPr>
              <w:t xml:space="preserve">(a) Only your own work →</w:t>
            </w:r>
            <w:r>
              <w:rPr>
                <w:lang w:val="en"/>
              </w:rPr>
              <w:t xml:space="preserve"> </w:t>
            </w:r>
            <w:r>
              <w:rPr>
                <w:b/>
                <w:bCs/>
                <w:lang w:val="en"/>
              </w:rPr>
              <w:t xml:space="preserve">Sandbox</w:t>
            </w:r>
            <w:r>
              <w:rPr>
                <w:lang w:val="en"/>
              </w:rPr>
              <w:t xml:space="preserve"> </w:t>
            </w:r>
            <w:r>
              <w:rPr>
                <w:lang w:val="en"/>
              </w:rPr>
              <w:t xml:space="preserve">· (b) Users work around it →</w:t>
            </w:r>
            <w:r>
              <w:rPr>
                <w:lang w:val="en"/>
              </w:rPr>
              <w:t xml:space="preserve"> </w:t>
            </w:r>
            <w:r>
              <w:rPr>
                <w:b/>
                <w:bCs/>
                <w:lang w:val="en"/>
              </w:rPr>
              <w:t xml:space="preserve">Team</w:t>
            </w:r>
            <w:r>
              <w:rPr>
                <w:lang w:val="en"/>
              </w:rPr>
              <w:t xml:space="preserve"> </w:t>
            </w:r>
            <w:r>
              <w:rPr>
                <w:lang w:val="en"/>
              </w:rPr>
              <w:t xml:space="preserve">· (c) A process stops, or output is re-performed or checked before use →</w:t>
            </w:r>
            <w:r>
              <w:rPr>
                <w:lang w:val="en"/>
              </w:rPr>
              <w:t xml:space="preserve"> </w:t>
            </w:r>
            <w:r>
              <w:rPr>
                <w:b/>
                <w:bCs/>
                <w:lang w:val="en"/>
              </w:rPr>
              <w:t xml:space="preserve">Important</w:t>
            </w:r>
            <w:r>
              <w:rPr>
                <w:lang w:val="en"/>
              </w:rPr>
              <w:t xml:space="preserve"> </w:t>
            </w:r>
            <w:r>
              <w:rPr>
                <w:lang w:val="en"/>
              </w:rPr>
              <w:t xml:space="preserve">· (d1) Posted, or kept as control evidence, without independent recomputation →</w:t>
            </w:r>
            <w:r>
              <w:rPr>
                <w:lang w:val="en"/>
              </w:rPr>
              <w:t xml:space="preserve"> </w:t>
            </w:r>
            <w:r>
              <w:rPr>
                <w:b/>
                <w:bCs/>
                <w:lang w:val="en"/>
              </w:rPr>
              <w:t xml:space="preserve">Critical</w:t>
            </w:r>
            <w:r>
              <w:rPr>
                <w:lang w:val="en"/>
              </w:rPr>
              <w:t xml:space="preserve"> </w:t>
            </w:r>
            <w:r>
              <w:rPr>
                <w:lang w:val="en"/>
              </w:rPr>
              <w:t xml:space="preserve">· (d2) Filings, safety actions or customer transactions with no per-output check →</w:t>
            </w:r>
            <w:r>
              <w:rPr>
                <w:lang w:val="en"/>
              </w:rPr>
              <w:t xml:space="preserve"> </w:t>
            </w:r>
            <w:r>
              <w:rPr>
                <w:b/>
                <w:bCs/>
                <w:lang w:val="en"/>
              </w:rPr>
              <w:t xml:space="preserve">Critical</w:t>
            </w:r>
          </w:p>
        </w:tc>
      </w:tr>
      <w:tr>
        <w:tc>
          <w:tcPr/>
          <w:p>
            <w:pPr>
              <w:pStyle w:val="Compact"/>
            </w:pPr>
            <w:hyperlink r:id="rId25">
              <w:r>
                <w:rPr>
                  <w:rStyle w:val="Hyperlink"/>
                  <w:b/>
                  <w:bCs/>
                  <w:lang w:val="en"/>
                </w:rPr>
                <w:t xml:space="preserve">Q5. Decisions about people</w:t>
              </w:r>
            </w:hyperlink>
            <w:r>
              <w:rPr>
                <w:b/>
                <w:bCs/>
                <w:lang w:val="en"/>
              </w:rPr>
              <w:t xml:space="preserve">.</w:t>
            </w:r>
            <w:r>
              <w:rPr>
                <w:lang w:val="en"/>
              </w:rPr>
              <w:t xml:space="preserve"> </w:t>
            </w:r>
            <w:r>
              <w:rPr>
                <w:lang w:val="en"/>
              </w:rPr>
              <w:t xml:space="preserve">Does its output decide, rank, score, recommend or flag anything, or produce a score, ranking, flag, summary or recommendation that a person relies on to decide, about a person's job (hiring, firing, promotion, performance rating), pay, discipline, credit, insurance, housing, education, health care, or access to public benefits?</w:t>
            </w:r>
          </w:p>
        </w:tc>
        <w:tc>
          <w:tcPr/>
          <w:p>
            <w:pPr>
              <w:pStyle w:val="Compact"/>
            </w:pPr>
            <w:r>
              <w:rPr>
                <w:lang w:val="en"/>
              </w:rPr>
              <w:t xml:space="preserve">(a) No →</w:t>
            </w:r>
            <w:r>
              <w:rPr>
                <w:lang w:val="en"/>
              </w:rPr>
              <w:t xml:space="preserve"> </w:t>
            </w:r>
            <w:r>
              <w:rPr>
                <w:b/>
                <w:bCs/>
                <w:lang w:val="en"/>
              </w:rPr>
              <w:t xml:space="preserve">Sandbox</w:t>
            </w:r>
            <w:r>
              <w:rPr>
                <w:lang w:val="en"/>
              </w:rPr>
              <w:t xml:space="preserve"> </w:t>
            </w:r>
            <w:r>
              <w:rPr>
                <w:lang w:val="en"/>
              </w:rPr>
              <w:t xml:space="preserve">· (b) Every outcome reviewed first by a person who meets the</w:t>
            </w:r>
            <w:r>
              <w:rPr>
                <w:lang w:val="en"/>
              </w:rPr>
              <w:t xml:space="preserve"> </w:t>
            </w:r>
            <w:hyperlink r:id="rId26">
              <w:r>
                <w:rPr>
                  <w:rStyle w:val="Hyperlink"/>
                  <w:lang w:val="en"/>
                </w:rPr>
                <w:t xml:space="preserve">meaningful-human-review test</w:t>
              </w:r>
            </w:hyperlink>
            <w:r>
              <w:rPr>
                <w:lang w:val="en"/>
              </w:rPr>
              <w:t xml:space="preserve"> </w:t>
            </w:r>
            <w:r>
              <w:rPr>
                <w:lang w:val="en"/>
              </w:rPr>
              <w:t xml:space="preserve">→</w:t>
            </w:r>
            <w:r>
              <w:rPr>
                <w:lang w:val="en"/>
              </w:rPr>
              <w:t xml:space="preserve"> </w:t>
            </w:r>
            <w:r>
              <w:rPr>
                <w:b/>
                <w:bCs/>
                <w:lang w:val="en"/>
              </w:rPr>
              <w:t xml:space="preserve">Important</w:t>
            </w:r>
            <w:r>
              <w:rPr>
                <w:lang w:val="en"/>
              </w:rPr>
              <w:t xml:space="preserve"> </w:t>
            </w:r>
            <w:r>
              <w:rPr>
                <w:lang w:val="en"/>
              </w:rPr>
              <w:t xml:space="preserve">· (c) An outcome can take effect before that review →</w:t>
            </w:r>
            <w:r>
              <w:rPr>
                <w:lang w:val="en"/>
              </w:rPr>
              <w:t xml:space="preserve"> </w:t>
            </w:r>
            <w:r>
              <w:rPr>
                <w:b/>
                <w:bCs/>
                <w:lang w:val="en"/>
              </w:rPr>
              <w:t xml:space="preserve">Critical</w:t>
            </w:r>
          </w:p>
        </w:tc>
      </w:tr>
      <w:tr>
        <w:tc>
          <w:tcPr/>
          <w:p>
            <w:pPr>
              <w:pStyle w:val="Compact"/>
            </w:pPr>
            <w:hyperlink r:id="rId27">
              <w:r>
                <w:rPr>
                  <w:rStyle w:val="Hyperlink"/>
                  <w:b/>
                  <w:bCs/>
                  <w:lang w:val="en"/>
                </w:rPr>
                <w:t xml:space="preserve">Q6. Actions</w:t>
              </w:r>
            </w:hyperlink>
            <w:r>
              <w:rPr>
                <w:b/>
                <w:bCs/>
                <w:lang w:val="en"/>
              </w:rPr>
              <w:t xml:space="preserve">.</w:t>
            </w:r>
            <w:r>
              <w:rPr>
                <w:lang w:val="en"/>
              </w:rPr>
              <w:t xml:space="preserve"> </w:t>
            </w:r>
            <w:r>
              <w:rPr>
                <w:lang w:val="en"/>
              </w:rPr>
              <w:t xml:space="preserve">What can it do without a person approving each action?</w:t>
            </w:r>
          </w:p>
        </w:tc>
        <w:tc>
          <w:tcPr/>
          <w:p>
            <w:pPr>
              <w:pStyle w:val="Compact"/>
            </w:pPr>
            <w:r>
              <w:rPr>
                <w:lang w:val="en"/>
              </w:rPr>
              <w:t xml:space="preserve">(a) Nothing beyond itself →</w:t>
            </w:r>
            <w:r>
              <w:rPr>
                <w:lang w:val="en"/>
              </w:rPr>
              <w:t xml:space="preserve"> </w:t>
            </w:r>
            <w:r>
              <w:rPr>
                <w:b/>
                <w:bCs/>
                <w:lang w:val="en"/>
              </w:rPr>
              <w:t xml:space="preserve">Sandbox</w:t>
            </w:r>
            <w:r>
              <w:rPr>
                <w:lang w:val="en"/>
              </w:rPr>
              <w:t xml:space="preserve"> </w:t>
            </w:r>
            <w:r>
              <w:rPr>
                <w:lang w:val="en"/>
              </w:rPr>
              <w:t xml:space="preserve">· (b) Its own data store, or messages to colleagues →</w:t>
            </w:r>
            <w:r>
              <w:rPr>
                <w:lang w:val="en"/>
              </w:rPr>
              <w:t xml:space="preserve"> </w:t>
            </w:r>
            <w:r>
              <w:rPr>
                <w:b/>
                <w:bCs/>
                <w:lang w:val="en"/>
              </w:rPr>
              <w:t xml:space="preserve">Team</w:t>
            </w:r>
            <w:r>
              <w:rPr>
                <w:lang w:val="en"/>
              </w:rPr>
              <w:t xml:space="preserve"> </w:t>
            </w:r>
            <w:r>
              <w:rPr>
                <w:lang w:val="en"/>
              </w:rPr>
              <w:t xml:space="preserve">· (c) A shared system of record, or automated messages to outsiders →</w:t>
            </w:r>
            <w:r>
              <w:rPr>
                <w:lang w:val="en"/>
              </w:rPr>
              <w:t xml:space="preserve"> </w:t>
            </w:r>
            <w:r>
              <w:rPr>
                <w:b/>
                <w:bCs/>
                <w:lang w:val="en"/>
              </w:rPr>
              <w:t xml:space="preserve">Important</w:t>
            </w:r>
            <w:r>
              <w:rPr>
                <w:lang w:val="en"/>
              </w:rPr>
              <w:t xml:space="preserve"> </w:t>
            </w:r>
            <w:r>
              <w:rPr>
                <w:lang w:val="en"/>
              </w:rPr>
              <w:t xml:space="preserve">· (d) Money, deletions, bulk changes over the change cap, or anything it can't undo →</w:t>
            </w:r>
            <w:r>
              <w:rPr>
                <w:lang w:val="en"/>
              </w:rPr>
              <w:t xml:space="preserve"> </w:t>
            </w:r>
            <w:r>
              <w:rPr>
                <w:b/>
                <w:bCs/>
                <w:lang w:val="en"/>
              </w:rPr>
              <w:t xml:space="preserve">Critical</w:t>
            </w:r>
          </w:p>
        </w:tc>
      </w:tr>
    </w:tbl>
    <w:p>
      <w:pPr>
        <w:pStyle w:val="BodyText"/>
      </w:pPr>
      <w:r>
        <w:rPr>
          <w:b/>
          <w:bCs/>
          <w:lang w:val="en"/>
        </w:rPr>
        <w:t xml:space="preserve">Jurisdiction flag.</w:t>
      </w:r>
      <w:r>
        <w:rPr>
          <w:lang w:val="en"/>
        </w:rPr>
        <w:t xml:space="preserve"> </w:t>
      </w:r>
      <w:r>
        <w:rPr>
          <w:lang w:val="en"/>
        </w:rPr>
        <w:t xml:space="preserve">Does the app handle information about people in Quebec, the EU or the UK, or about staff who work in the EU or UK, or is an AI feature's output used in the EU? If you don't know, answer yes. If yes,</w:t>
      </w:r>
      <w:r>
        <w:rPr>
          <w:lang w:val="en"/>
        </w:rPr>
        <w:t xml:space="preserve"> </w:t>
      </w:r>
      <w:r>
        <w:rPr>
          <w:b/>
          <w:bCs/>
          <w:lang w:val="en"/>
        </w:rPr>
        <w:t xml:space="preserve">route to counsel</w:t>
      </w:r>
      <w:r>
        <w:rPr>
          <w:lang w:val="en"/>
        </w:rPr>
        <w:t xml:space="preserve">. The flag never changes the tier.</w:t>
      </w:r>
    </w:p>
    <w:p>
      <w:pPr>
        <w:pStyle w:val="BodyText"/>
      </w:pPr>
      <w:r>
        <w:rPr>
          <w:b/>
          <w:bCs/>
          <w:lang w:val="en"/>
        </w:rPr>
        <w:t xml:space="preserve">Audit-scope flag.</w:t>
      </w:r>
      <w:r>
        <w:rPr>
          <w:lang w:val="en"/>
        </w:rPr>
        <w:t xml:space="preserve"> </w:t>
      </w:r>
      <w:r>
        <w:rPr>
          <w:lang w:val="en"/>
        </w:rPr>
        <w:t xml:space="preserve">Ask the four questions under</w:t>
      </w:r>
      <w:r>
        <w:rPr>
          <w:lang w:val="en"/>
        </w:rPr>
        <w:t xml:space="preserve"> </w:t>
      </w:r>
      <w:hyperlink r:id="rId28">
        <w:r>
          <w:rPr>
            <w:rStyle w:val="Hyperlink"/>
            <w:lang w:val="en"/>
          </w:rPr>
          <w:t xml:space="preserve">the audit-scope flag</w:t>
        </w:r>
      </w:hyperlink>
      <w:r>
        <w:rPr>
          <w:lang w:val="en"/>
        </w:rPr>
        <w:t xml:space="preserve">. Any yes:</w:t>
      </w:r>
      <w:r>
        <w:rPr>
          <w:lang w:val="en"/>
        </w:rPr>
        <w:t xml:space="preserve"> </w:t>
      </w:r>
      <w:r>
        <w:rPr>
          <w:b/>
          <w:bCs/>
          <w:lang w:val="en"/>
        </w:rPr>
        <w:t xml:space="preserve">route to the compliance owner</w:t>
      </w:r>
      <w:r>
        <w:rPr>
          <w:lang w:val="en"/>
        </w:rPr>
        <w:t xml:space="preserve">. The flag never changes the tier.</w:t>
      </w:r>
    </w:p>
    <w:p>
      <w:pPr>
        <w:pStyle w:val="BodyText"/>
      </w:pPr>
      <w:r>
        <w:rPr>
          <w:b/>
          <w:bCs/>
          <w:lang w:val="en"/>
        </w:rPr>
        <w:t xml:space="preserve">AI modifiers.</w:t>
      </w:r>
      <w:r>
        <w:rPr>
          <w:lang w:val="en"/>
        </w:rPr>
        <w:t xml:space="preserve"> </w:t>
      </w:r>
      <w:r>
        <w:rPr>
          <w:lang w:val="en"/>
        </w:rPr>
        <w:t xml:space="preserve">Check</w:t>
      </w:r>
      <w:r>
        <w:rPr>
          <w:lang w:val="en"/>
        </w:rPr>
        <w:t xml:space="preserve"> </w:t>
      </w:r>
      <w:hyperlink r:id="rId29">
        <w:r>
          <w:rPr>
            <w:rStyle w:val="Hyperlink"/>
            <w:lang w:val="en"/>
          </w:rPr>
          <w:t xml:space="preserve">M1, M2 and M3</w:t>
        </w:r>
      </w:hyperlink>
      <w:r>
        <w:rPr>
          <w:lang w:val="en"/>
        </w:rPr>
        <w:t xml:space="preserve"> </w:t>
      </w:r>
      <w:r>
        <w:rPr>
          <w:lang w:val="en"/>
        </w:rPr>
        <w:t xml:space="preserve">for every app. Count a tool's built-in AI features (an AI formula in a spreadsheet, an AI step in a workflow tool) as M1 when they process the app's data; the approval gate is met if that feature is on the approved-tools list for the data class in Q1, and otherwise the app is blocked until it is. M2 makes the app</w:t>
      </w:r>
      <w:r>
        <w:rPr>
          <w:lang w:val="en"/>
        </w:rPr>
        <w:t xml:space="preserve"> </w:t>
      </w:r>
      <w:r>
        <w:rPr>
          <w:b/>
          <w:bCs/>
          <w:lang w:val="en"/>
        </w:rPr>
        <w:t xml:space="preserve">Critical</w:t>
      </w:r>
      <w:r>
        <w:rPr>
          <w:lang w:val="en"/>
        </w:rPr>
        <w:t xml:space="preserve">. For M3, list the identity and grants for the registry.</w:t>
      </w:r>
    </w:p>
    <w:p>
      <w:pPr>
        <w:pStyle w:val="BodyText"/>
      </w:pPr>
      <w:r>
        <w:rPr>
          <w:b/>
          <w:bCs/>
          <w:lang w:val="en"/>
        </w:rPr>
        <w:t xml:space="preserve">Don't: score and sum</w:t>
      </w:r>
    </w:p>
    <w:p>
      <w:pPr>
        <w:pStyle w:val="BodyText"/>
      </w:pPr>
      <w:r>
        <w:rPr>
          <w:lang w:val="en"/>
        </w:rPr>
        <w:t xml:space="preserve">Don't give each question points and add them up. A severe answer gets averaged away: an app that deletes records in bulk but has few users "scores" low. One Critical answer makes the app Critical. This is the high-water-mark principle in NIST's categorization standard</w:t>
      </w:r>
      <w:hyperlink w:anchor="fn:fips199">
        <w:r>
          <w:rPr>
            <w:rStyle w:val="Hyperlink"/>
            <w:vertAlign w:val="superscript"/>
            <w:lang w:val="en"/>
          </w:rPr>
          <w:t xml:space="preserve">1</w:t>
        </w:r>
      </w:hyperlink>
      <w:r>
        <w:rPr>
          <w:lang w:val="en"/>
        </w:rPr>
        <w:t xml:space="preserve">.</w:t>
      </w:r>
    </w:p>
    <w:p>
      <w:pPr>
        <w:pStyle w:val="BodyText"/>
      </w:pPr>
      <w:r>
        <w:rPr>
          <w:b/>
          <w:bCs/>
          <w:lang w:val="en"/>
        </w:rPr>
        <w:t xml:space="preserve">Don't: tier by how the app was built</w:t>
      </w:r>
    </w:p>
    <w:p>
      <w:pPr>
        <w:pStyle w:val="BodyText"/>
      </w:pPr>
      <w:r>
        <w:rPr>
          <w:lang w:val="en"/>
        </w:rPr>
        <w:t xml:space="preserve">"It's just a macro" and "it was built with AI" aren't answers. Tier on what the app does with its data, users, reach, dependence, decisions and actions; the UK National Cyber Security Centre's guidance calibrates scrutiny the same way</w:t>
      </w:r>
      <w:hyperlink w:anchor="fn:ncsc">
        <w:r>
          <w:rPr>
            <w:rStyle w:val="Hyperlink"/>
            <w:vertAlign w:val="superscript"/>
            <w:lang w:val="en"/>
          </w:rPr>
          <w:t xml:space="preserve">2</w:t>
        </w:r>
      </w:hyperlink>
      <w:r>
        <w:rPr>
          <w:lang w:val="en"/>
        </w:rPr>
        <w:t xml:space="preserve">.</w:t>
      </w:r>
    </w:p>
    <w:bookmarkStart w:id="31" w:name="recording-sheet"/>
    <w:p>
      <w:pPr>
        <w:pStyle w:val="Heading3"/>
      </w:pPr>
      <w:r>
        <w:rPr>
          <w:lang w:val="en"/>
        </w:rPr>
        <w:t xml:space="preserve">Recording sheet</w:t>
      </w:r>
    </w:p>
    <w:p>
      <w:pPr>
        <w:pStyle w:val="FirstParagraph"/>
      </w:pPr>
      <w:r>
        <w:rPr>
          <w:lang w:val="en"/>
        </w:rPr>
        <w:t xml:space="preserve">Record the as-found answer, and if it's higher only because of a floor breach, the answer as fixed and the fix-by date.</w:t>
      </w:r>
    </w:p>
    <w:tbl>
      <w:tblPr>
        <w:tblStyle w:val="Table"/>
        <w:tblW w:type="auto" w:w="0"/>
        <w:tblLook w:firstRow="1" w:lastRow="0" w:firstColumn="0" w:lastColumn="0" w:noHBand="0" w:noVBand="0" w:val="0020"/>
      </w:tblPr>
      <w:tblGrid>
        <w:gridCol w:w="495"/>
        <w:gridCol w:w="495"/>
        <w:gridCol w:w="495"/>
        <w:gridCol w:w="495"/>
        <w:gridCol w:w="495"/>
        <w:gridCol w:w="495"/>
        <w:gridCol w:w="495"/>
        <w:gridCol w:w="495"/>
        <w:gridCol w:w="495"/>
        <w:gridCol w:w="495"/>
        <w:gridCol w:w="495"/>
        <w:gridCol w:w="495"/>
        <w:gridCol w:w="495"/>
        <w:gridCol w:w="495"/>
        <w:gridCol w:w="495"/>
        <w:gridCol w:w="495"/>
      </w:tblGrid>
      <w:tr>
        <w:trPr>
          <w:tblHeader w:val="on"/>
        </w:trPr>
        <w:tc>
          <w:tcPr/>
          <w:p>
            <w:pPr>
              <w:pStyle w:val="Compact"/>
            </w:pPr>
            <w:r>
              <w:rPr>
                <w:lang w:val="en"/>
              </w:rPr>
              <w:t xml:space="preserve">App</w:t>
            </w:r>
          </w:p>
        </w:tc>
        <w:tc>
          <w:tcPr/>
          <w:p>
            <w:pPr>
              <w:pStyle w:val="Compact"/>
            </w:pPr>
            <w:r>
              <w:rPr>
                <w:lang w:val="en"/>
              </w:rPr>
              <w:t xml:space="preserve">Q1</w:t>
            </w:r>
          </w:p>
        </w:tc>
        <w:tc>
          <w:tcPr/>
          <w:p>
            <w:pPr>
              <w:pStyle w:val="Compact"/>
            </w:pPr>
            <w:r>
              <w:rPr>
                <w:lang w:val="en"/>
              </w:rPr>
              <w:t xml:space="preserve">Q2</w:t>
            </w:r>
          </w:p>
        </w:tc>
        <w:tc>
          <w:tcPr/>
          <w:p>
            <w:pPr>
              <w:pStyle w:val="Compact"/>
            </w:pPr>
            <w:r>
              <w:rPr>
                <w:lang w:val="en"/>
              </w:rPr>
              <w:t xml:space="preserve">Q3</w:t>
            </w:r>
          </w:p>
        </w:tc>
        <w:tc>
          <w:tcPr/>
          <w:p>
            <w:pPr>
              <w:pStyle w:val="Compact"/>
            </w:pPr>
            <w:r>
              <w:rPr>
                <w:lang w:val="en"/>
              </w:rPr>
              <w:t xml:space="preserve">Q4</w:t>
            </w:r>
          </w:p>
        </w:tc>
        <w:tc>
          <w:tcPr/>
          <w:p>
            <w:pPr>
              <w:pStyle w:val="Compact"/>
            </w:pPr>
            <w:r>
              <w:rPr>
                <w:lang w:val="en"/>
              </w:rPr>
              <w:t xml:space="preserve">Q5</w:t>
            </w:r>
          </w:p>
        </w:tc>
        <w:tc>
          <w:tcPr/>
          <w:p>
            <w:pPr>
              <w:pStyle w:val="Compact"/>
            </w:pPr>
            <w:r>
              <w:rPr>
                <w:lang w:val="en"/>
              </w:rPr>
              <w:t xml:space="preserve">Q6</w:t>
            </w:r>
          </w:p>
        </w:tc>
        <w:tc>
          <w:tcPr/>
          <w:p>
            <w:pPr>
              <w:pStyle w:val="Compact"/>
            </w:pPr>
            <w:r>
              <w:rPr>
                <w:lang w:val="en"/>
              </w:rPr>
              <w:t xml:space="preserve">Juris.</w:t>
            </w:r>
          </w:p>
        </w:tc>
        <w:tc>
          <w:tcPr/>
          <w:p>
            <w:pPr>
              <w:pStyle w:val="Compact"/>
            </w:pPr>
            <w:r>
              <w:rPr>
                <w:lang w:val="en"/>
              </w:rPr>
              <w:t xml:space="preserve">Audit</w:t>
            </w:r>
          </w:p>
        </w:tc>
        <w:tc>
          <w:tcPr/>
          <w:p>
            <w:pPr>
              <w:pStyle w:val="Compact"/>
            </w:pPr>
            <w:r>
              <w:rPr>
                <w:lang w:val="en"/>
              </w:rPr>
              <w:t xml:space="preserve">M1–M3</w:t>
            </w:r>
          </w:p>
        </w:tc>
        <w:tc>
          <w:tcPr/>
          <w:p>
            <w:pPr>
              <w:pStyle w:val="Compact"/>
            </w:pPr>
            <w:r>
              <w:rPr>
                <w:lang w:val="en"/>
              </w:rPr>
              <w:t xml:space="preserve">Floors OK?</w:t>
            </w:r>
          </w:p>
        </w:tc>
        <w:tc>
          <w:tcPr/>
          <w:p>
            <w:pPr>
              <w:pStyle w:val="Compact"/>
            </w:pPr>
            <w:r>
              <w:rPr>
                <w:lang w:val="en"/>
              </w:rPr>
              <w:t xml:space="preserve">Fix-by date</w:t>
            </w:r>
          </w:p>
        </w:tc>
        <w:tc>
          <w:tcPr/>
          <w:p>
            <w:pPr>
              <w:pStyle w:val="Compact"/>
            </w:pPr>
            <w:r>
              <w:rPr>
                <w:lang w:val="en"/>
              </w:rPr>
              <w:t xml:space="preserve">Tier</w:t>
            </w:r>
          </w:p>
        </w:tc>
        <w:tc>
          <w:tcPr/>
          <w:p>
            <w:pPr>
              <w:pStyle w:val="Compact"/>
            </w:pPr>
            <w:r>
              <w:rPr>
                <w:lang w:val="en"/>
              </w:rPr>
              <w:t xml:space="preserve">Provisional owner (role)</w:t>
            </w:r>
          </w:p>
        </w:tc>
        <w:tc>
          <w:tcPr/>
          <w:p>
            <w:pPr>
              <w:pStyle w:val="Compact"/>
            </w:pPr>
            <w:r>
              <w:rPr>
                <w:lang w:val="en"/>
              </w:rPr>
              <w:t xml:space="preserve">Next action</w:t>
            </w:r>
          </w:p>
        </w:tc>
        <w:tc>
          <w:tcPr/>
          <w:p>
            <w:pPr>
              <w:pStyle w:val="Compact"/>
            </w:pPr>
            <w:r>
              <w:rPr>
                <w:lang w:val="en"/>
              </w:rPr>
              <w:t xml:space="preserve">Routing</w:t>
            </w:r>
          </w:p>
        </w:tc>
      </w:tr>
      <w:tr>
        <w:tc>
          <w:tcPr/>
          <w:p>
            <w:pPr>
              <w:pStyle w:val="Compact"/>
            </w:pPr>
            <w:r>
              <w:rPr>
                <w:i/>
                <w:iCs/>
                <w:lang w:val="en"/>
              </w:rPr>
              <w:t xml:space="preserve">Example:</w:t>
            </w:r>
            <w:r>
              <w:rPr>
                <w:lang w:val="en"/>
              </w:rPr>
              <w:t xml:space="preserve"> </w:t>
            </w:r>
            <w:r>
              <w:rPr>
                <w:lang w:val="en"/>
              </w:rPr>
              <w:t xml:space="preserve">desk-booking reminders</w:t>
            </w:r>
          </w:p>
        </w:tc>
        <w:tc>
          <w:tcPr/>
          <w:p>
            <w:pPr>
              <w:pStyle w:val="Compact"/>
            </w:pPr>
            <w:r>
              <w:rPr>
                <w:lang w:val="en"/>
              </w:rPr>
              <w:t xml:space="preserve">b</w:t>
            </w:r>
          </w:p>
        </w:tc>
        <w:tc>
          <w:tcPr/>
          <w:p>
            <w:pPr>
              <w:pStyle w:val="Compact"/>
            </w:pPr>
            <w:r>
              <w:rPr>
                <w:lang w:val="en"/>
              </w:rPr>
              <w:t xml:space="preserve">b1</w:t>
            </w:r>
          </w:p>
        </w:tc>
        <w:tc>
          <w:tcPr/>
          <w:p>
            <w:pPr>
              <w:pStyle w:val="Compact"/>
            </w:pPr>
            <w:r>
              <w:rPr>
                <w:b/>
                <w:bCs/>
                <w:lang w:val="en"/>
              </w:rPr>
              <w:t xml:space="preserve">b as found; a as fixed</w:t>
            </w:r>
          </w:p>
        </w:tc>
        <w:tc>
          <w:tcPr/>
          <w:p>
            <w:pPr>
              <w:pStyle w:val="Compact"/>
            </w:pPr>
            <w:r>
              <w:rPr>
                <w:lang w:val="en"/>
              </w:rPr>
              <w:t xml:space="preserve">b</w:t>
            </w:r>
          </w:p>
        </w:tc>
        <w:tc>
          <w:tcPr/>
          <w:p>
            <w:pPr>
              <w:pStyle w:val="Compact"/>
            </w:pPr>
            <w:r>
              <w:rPr>
                <w:lang w:val="en"/>
              </w:rPr>
              <w:t xml:space="preserve">a</w:t>
            </w:r>
          </w:p>
        </w:tc>
        <w:tc>
          <w:tcPr/>
          <w:p>
            <w:pPr>
              <w:pStyle w:val="Compact"/>
            </w:pPr>
            <w:r>
              <w:rPr>
                <w:lang w:val="en"/>
              </w:rPr>
              <w:t xml:space="preserve">b</w:t>
            </w:r>
          </w:p>
        </w:tc>
        <w:tc>
          <w:tcPr/>
          <w:p>
            <w:pPr>
              <w:pStyle w:val="Compact"/>
            </w:pPr>
            <w:r>
              <w:rPr>
                <w:lang w:val="en"/>
              </w:rPr>
              <w:t xml:space="preserve">no</w:t>
            </w:r>
          </w:p>
        </w:tc>
        <w:tc>
          <w:tcPr/>
          <w:p>
            <w:pPr>
              <w:pStyle w:val="Compact"/>
            </w:pPr>
            <w:r>
              <w:rPr>
                <w:lang w:val="en"/>
              </w:rPr>
              <w:t xml:space="preserve">no</w:t>
            </w:r>
          </w:p>
        </w:tc>
        <w:tc>
          <w:tcPr/>
          <w:p>
            <w:pPr>
              <w:pStyle w:val="Compact"/>
            </w:pPr>
            <w:r>
              <w:rPr>
                <w:lang w:val="en"/>
              </w:rPr>
              <w:t xml:space="preserve">none</w:t>
            </w:r>
          </w:p>
        </w:tc>
        <w:tc>
          <w:tcPr/>
          <w:p>
            <w:pPr>
              <w:pStyle w:val="Compact"/>
            </w:pPr>
            <w:r>
              <w:rPr>
                <w:b/>
                <w:bCs/>
                <w:lang w:val="en"/>
              </w:rPr>
              <w:t xml:space="preserve">No: public bucket (Floor 2)</w:t>
            </w:r>
          </w:p>
        </w:tc>
        <w:tc>
          <w:tcPr/>
          <w:p>
            <w:pPr>
              <w:pStyle w:val="Compact"/>
            </w:pPr>
            <w:r>
              <w:rPr>
                <w:lang w:val="en"/>
              </w:rPr>
              <w:t xml:space="preserve">5 working days after the session</w:t>
            </w:r>
          </w:p>
        </w:tc>
        <w:tc>
          <w:tcPr/>
          <w:p>
            <w:pPr>
              <w:pStyle w:val="Compact"/>
            </w:pPr>
            <w:r>
              <w:rPr>
                <w:b/>
                <w:bCs/>
                <w:lang w:val="en"/>
              </w:rPr>
              <w:t xml:space="preserve">Team</w:t>
            </w:r>
            <w:r>
              <w:rPr>
                <w:lang w:val="en"/>
              </w:rPr>
              <w:t xml:space="preserve"> </w:t>
            </w:r>
            <w:r>
              <w:rPr>
                <w:lang w:val="en"/>
              </w:rPr>
              <w:t xml:space="preserve">as fixed (Important if not fixed by the fix-by date)</w:t>
            </w:r>
          </w:p>
        </w:tc>
        <w:tc>
          <w:tcPr/>
          <w:p>
            <w:pPr>
              <w:pStyle w:val="Compact"/>
            </w:pPr>
            <w:r>
              <w:rPr>
                <w:lang w:val="en"/>
              </w:rPr>
              <w:t xml:space="preserve">Facilities manager</w:t>
            </w:r>
          </w:p>
        </w:tc>
        <w:tc>
          <w:tcPr/>
          <w:p>
            <w:pPr>
              <w:pStyle w:val="Compact"/>
            </w:pPr>
            <w:r>
              <w:rPr>
                <w:lang w:val="en"/>
              </w:rPr>
              <w:t xml:space="preserve">Fix: make the storage private, confirm with a clean exposure scan</w:t>
            </w:r>
          </w:p>
        </w:tc>
        <w:tc>
          <w:tcPr/>
          <w:p>
            <w:pPr>
              <w:pStyle w:val="Compact"/>
            </w:pPr>
            <w:r>
              <w:rPr>
                <w:lang w:val="en"/>
              </w:rPr>
              <w:t xml:space="preserve">—</w:t>
            </w:r>
          </w:p>
        </w:tc>
      </w:tr>
    </w:tbl>
    <w:p>
      <w:pPr>
        <w:pStyle w:val="BodyText"/>
      </w:pPr>
      <w:r>
        <w:rPr>
          <w:b/>
          <w:bCs/>
          <w:lang w:val="en"/>
        </w:rPr>
        <w:t xml:space="preserve">Illustrative composite</w:t>
      </w:r>
    </w:p>
    <w:p>
      <w:pPr>
        <w:pStyle w:val="BodyText"/>
      </w:pPr>
      <w:r>
        <w:rPr>
          <w:lang w:val="en"/>
        </w:rPr>
        <w:t xml:space="preserve">The example row is invented. The app holds staff names and desk bookings (Q1(b)) and serves the facilities team (Q2(b1); staff who get reminders are Q6(b), not Q2). Its files sit in publicly readable storage, so Q3 is (b) as found and Floor 2 is broken: a Team app may not be reachable without sign-in. Under the</w:t>
      </w:r>
      <w:r>
        <w:rPr>
          <w:lang w:val="en"/>
        </w:rPr>
        <w:t xml:space="preserve"> </w:t>
      </w:r>
      <w:hyperlink r:id="rId30">
        <w:r>
          <w:rPr>
            <w:rStyle w:val="Hyperlink"/>
            <w:lang w:val="en"/>
          </w:rPr>
          <w:t xml:space="preserve">floor-breach rule</w:t>
        </w:r>
      </w:hyperlink>
      <w:r>
        <w:rPr>
          <w:lang w:val="en"/>
        </w:rPr>
        <w:t xml:space="preserve">, the room closes public access the same day, records the as-found answer, the breach and a fix-by date (5 working days at most), and tiers the app as fixed: Team. If no clean exposure scan confirms the fix by then, it's Important, with every Important gate, until one does. The fix is to make the storage private, not to move the app to a public-facing pattern it doesn't need.</w:t>
      </w:r>
    </w:p>
    <w:bookmarkEnd w:id="31"/>
    <w:bookmarkEnd w:id="32"/>
    <w:bookmarkStart w:id="33" w:name="floors-check"/>
    <w:p>
      <w:pPr>
        <w:pStyle w:val="Heading2"/>
      </w:pPr>
      <w:r>
        <w:rPr>
          <w:lang w:val="en"/>
        </w:rPr>
        <w:t xml:space="preserve">Floors check</w:t>
      </w:r>
    </w:p>
    <w:p>
      <w:pPr>
        <w:pStyle w:val="FirstParagraph"/>
      </w:pPr>
      <w:r>
        <w:rPr>
          <w:lang w:val="en"/>
        </w:rPr>
        <w:t xml:space="preserve">For every app, check both floors before anything else is loaded:</w:t>
      </w:r>
    </w:p>
    <w:p>
      <w:pPr>
        <w:pStyle w:val="Compact"/>
        <w:numPr>
          <w:ilvl w:val="0"/>
          <w:numId w:val="1007"/>
        </w:numPr>
      </w:pPr>
      <w:r>
        <w:rPr>
          <w:b/>
          <w:bCs/>
          <w:lang w:val="en"/>
        </w:rPr>
        <w:t xml:space="preserve">The trifecta rule.</w:t>
      </w:r>
      <w:r>
        <w:rPr>
          <w:lang w:val="en"/>
        </w:rPr>
        <w:t xml:space="preserve"> </w:t>
      </w:r>
      <w:r>
        <w:rPr>
          <w:lang w:val="en"/>
        </w:rPr>
        <w:t xml:space="preserve">No agent or AI feature may combine private data, untrusted content and a way to send data out. For each AI feature or agent, ask: does it read private data, does it read outside content (email, web pages, uploaded files, tickets), and can it send anything out (email, web requests, rendered links or images, public storage)? If all three, it stops until one leg is removed.</w:t>
      </w:r>
    </w:p>
    <w:p>
      <w:pPr>
        <w:pStyle w:val="Compact"/>
        <w:numPr>
          <w:ilvl w:val="0"/>
          <w:numId w:val="1007"/>
        </w:numPr>
      </w:pPr>
      <w:r>
        <w:rPr>
          <w:b/>
          <w:bCs/>
          <w:lang w:val="en"/>
        </w:rPr>
        <w:t xml:space="preserve">No internet reach without company sign-in below Important.</w:t>
      </w:r>
      <w:r>
        <w:rPr>
          <w:lang w:val="en"/>
        </w:rPr>
        <w:t xml:space="preserve"> </w:t>
      </w:r>
      <w:r>
        <w:rPr>
          <w:lang w:val="en"/>
        </w:rPr>
        <w:t xml:space="preserve">If a Sandbox or Team app is reachable from the internet without sign-in, make it private now, or move it to an approved public-facing pattern and register it at Important.</w:t>
      </w:r>
    </w:p>
    <w:p>
      <w:pPr>
        <w:pStyle w:val="FirstParagraph"/>
      </w:pPr>
      <w:r>
        <w:rPr>
          <w:lang w:val="en"/>
        </w:rPr>
        <w:t xml:space="preserve">A floor breach is contained first, with a named owner and a fix-by date no more than 5 working days away. It doesn't wait for the registry load. The floor-breach rule applies only to mistakes: if the owner wants to keep a public link, the as-found answer is the answer.</w:t>
      </w:r>
    </w:p>
    <w:bookmarkEnd w:id="33"/>
    <w:bookmarkStart w:id="36" w:name="owners-and-next-actions"/>
    <w:p>
      <w:pPr>
        <w:pStyle w:val="Heading2"/>
      </w:pPr>
      <w:r>
        <w:rPr>
          <w:lang w:val="en"/>
        </w:rPr>
        <w:t xml:space="preserve">Owners and next actions</w:t>
      </w:r>
    </w:p>
    <w:p>
      <w:pPr>
        <w:pStyle w:val="FirstParagraph"/>
      </w:pPr>
      <w:r>
        <w:rPr>
          <w:lang w:val="en"/>
        </w:rPr>
        <w:t xml:space="preserve">For each app, record a provisional owner (a role, usually the process owner or the builder's manager) and one next action:</w:t>
      </w:r>
    </w:p>
    <w:p>
      <w:pPr>
        <w:pStyle w:val="Compact"/>
        <w:numPr>
          <w:ilvl w:val="0"/>
          <w:numId w:val="1008"/>
        </w:numPr>
      </w:pPr>
      <w:r>
        <w:rPr>
          <w:b/>
          <w:bCs/>
          <w:lang w:val="en"/>
        </w:rPr>
        <w:t xml:space="preserve">Register:</w:t>
      </w:r>
      <w:r>
        <w:rPr>
          <w:lang w:val="en"/>
        </w:rPr>
        <w:t xml:space="preserve"> </w:t>
      </w:r>
      <w:r>
        <w:rPr>
          <w:lang w:val="en"/>
        </w:rPr>
        <w:t xml:space="preserve">the app has an owner, its floors hold and it's worth keeping. Open an app record at its tier and send it through</w:t>
      </w:r>
      <w:r>
        <w:rPr>
          <w:lang w:val="en"/>
        </w:rPr>
        <w:t xml:space="preserve"> </w:t>
      </w:r>
      <w:hyperlink r:id="rId34">
        <w:r>
          <w:rPr>
            <w:rStyle w:val="Hyperlink"/>
            <w:lang w:val="en"/>
          </w:rPr>
          <w:t xml:space="preserve">intake</w:t>
        </w:r>
      </w:hyperlink>
      <w:r>
        <w:rPr>
          <w:lang w:val="en"/>
        </w:rPr>
        <w:t xml:space="preserve"> </w:t>
      </w:r>
      <w:r>
        <w:rPr>
          <w:lang w:val="en"/>
        </w:rPr>
        <w:t xml:space="preserve">to confirm.</w:t>
      </w:r>
    </w:p>
    <w:p>
      <w:pPr>
        <w:pStyle w:val="Compact"/>
        <w:numPr>
          <w:ilvl w:val="0"/>
          <w:numId w:val="1008"/>
        </w:numPr>
      </w:pPr>
      <w:r>
        <w:rPr>
          <w:b/>
          <w:bCs/>
          <w:lang w:val="en"/>
        </w:rPr>
        <w:t xml:space="preserve">Fix:</w:t>
      </w:r>
      <w:r>
        <w:rPr>
          <w:lang w:val="en"/>
        </w:rPr>
        <w:t xml:space="preserve"> </w:t>
      </w:r>
      <w:r>
        <w:rPr>
          <w:lang w:val="en"/>
        </w:rPr>
        <w:t xml:space="preserve">something must change first (a floor breach, an unapproved AI service, a personal account, a credential in the code, an over-broad token that could be scoped). Record the fix and re-answer the questions afterwards.</w:t>
      </w:r>
    </w:p>
    <w:p>
      <w:pPr>
        <w:pStyle w:val="Compact"/>
        <w:numPr>
          <w:ilvl w:val="0"/>
          <w:numId w:val="1008"/>
        </w:numPr>
      </w:pPr>
      <w:r>
        <w:rPr>
          <w:b/>
          <w:bCs/>
          <w:lang w:val="en"/>
        </w:rPr>
        <w:t xml:space="preserve">Retire:</w:t>
      </w:r>
      <w:r>
        <w:rPr>
          <w:lang w:val="en"/>
        </w:rPr>
        <w:t xml:space="preserve"> </w:t>
      </w:r>
      <w:r>
        <w:rPr>
          <w:lang w:val="en"/>
        </w:rPr>
        <w:t xml:space="preserve">nobody will own it, it's unused, or it's been replaced. Start</w:t>
      </w:r>
      <w:r>
        <w:rPr>
          <w:lang w:val="en"/>
        </w:rPr>
        <w:t xml:space="preserve"> </w:t>
      </w:r>
      <w:hyperlink r:id="rId35">
        <w:r>
          <w:rPr>
            <w:rStyle w:val="Hyperlink"/>
            <w:lang w:val="en"/>
          </w:rPr>
          <w:t xml:space="preserve">retirement</w:t>
        </w:r>
      </w:hyperlink>
      <w:r>
        <w:rPr>
          <w:lang w:val="en"/>
        </w:rPr>
        <w:t xml:space="preserve">.</w:t>
      </w:r>
    </w:p>
    <w:bookmarkEnd w:id="36"/>
    <w:bookmarkStart w:id="40" w:name="downgrade-requests-and-disputes"/>
    <w:p>
      <w:pPr>
        <w:pStyle w:val="Heading2"/>
      </w:pPr>
      <w:r>
        <w:rPr>
          <w:lang w:val="en"/>
        </w:rPr>
        <w:t xml:space="preserve">Downgrade requests and disputes</w:t>
      </w:r>
    </w:p>
    <w:p>
      <w:pPr>
        <w:pStyle w:val="Compact"/>
        <w:numPr>
          <w:ilvl w:val="0"/>
          <w:numId w:val="1009"/>
        </w:numPr>
      </w:pPr>
      <w:r>
        <w:rPr>
          <w:lang w:val="en"/>
        </w:rPr>
        <w:t xml:space="preserve">Downgrades: if an owner wants a lower tier because compensating controls remove the reason for an answer, record the request and route it to the signers named in the</w:t>
      </w:r>
      <w:r>
        <w:rPr>
          <w:lang w:val="en"/>
        </w:rPr>
        <w:t xml:space="preserve"> </w:t>
      </w:r>
      <w:hyperlink r:id="rId37">
        <w:r>
          <w:rPr>
            <w:rStyle w:val="Hyperlink"/>
            <w:lang w:val="en"/>
          </w:rPr>
          <w:t xml:space="preserve">downgrade path</w:t>
        </w:r>
      </w:hyperlink>
      <w:r>
        <w:rPr>
          <w:lang w:val="en"/>
        </w:rPr>
        <w:t xml:space="preserve">. For a token the tool can't scope, note whether the app could qualify for standard downgrade 3 (no AI feature, not an agent, code calls no write or delete endpoint, token in a secrets manager) and route it to a technical reviewer. Don't decide it in the room. No downgrade can go below a (legal) answer or touch a floor.</w:t>
      </w:r>
    </w:p>
    <w:p>
      <w:pPr>
        <w:pStyle w:val="Compact"/>
        <w:numPr>
          <w:ilvl w:val="0"/>
          <w:numId w:val="1009"/>
        </w:numPr>
      </w:pPr>
      <w:r>
        <w:rPr>
          <w:lang w:val="en"/>
        </w:rPr>
        <w:t xml:space="preserve">Exceptions: a request to change</w:t>
      </w:r>
      <w:r>
        <w:rPr>
          <w:lang w:val="en"/>
        </w:rPr>
        <w:t xml:space="preserve"> </w:t>
      </w:r>
      <w:r>
        <w:rPr>
          <w:i/>
          <w:iCs/>
          <w:lang w:val="en"/>
        </w:rPr>
        <w:t xml:space="preserve">when or how</w:t>
      </w:r>
      <w:r>
        <w:rPr>
          <w:lang w:val="en"/>
        </w:rPr>
        <w:t xml:space="preserve"> </w:t>
      </w:r>
      <w:r>
        <w:rPr>
          <w:lang w:val="en"/>
        </w:rPr>
        <w:t xml:space="preserve">a gate is met (for example, a runbook due later) is a</w:t>
      </w:r>
      <w:r>
        <w:rPr>
          <w:lang w:val="en"/>
        </w:rPr>
        <w:t xml:space="preserve"> </w:t>
      </w:r>
      <w:hyperlink r:id="rId38">
        <w:r>
          <w:rPr>
            <w:rStyle w:val="Hyperlink"/>
            <w:lang w:val="en"/>
          </w:rPr>
          <w:t xml:space="preserve">bounded exception</w:t>
        </w:r>
      </w:hyperlink>
      <w:r>
        <w:rPr>
          <w:lang w:val="en"/>
        </w:rPr>
        <w:t xml:space="preserve">: it needs a named approver, a written reason, an expiry of 90 days or less and an entry in the app record. Record the request and route it to the approver. There are no exceptions to the floors or the legal triggers.</w:t>
      </w:r>
    </w:p>
    <w:p>
      <w:pPr>
        <w:pStyle w:val="Compact"/>
        <w:numPr>
          <w:ilvl w:val="0"/>
          <w:numId w:val="1009"/>
        </w:numPr>
      </w:pPr>
      <w:r>
        <w:rPr>
          <w:lang w:val="en"/>
        </w:rPr>
        <w:t xml:space="preserve">Disputes: if the room can't agree on an answer, record the higher answer, note the wording that caused the disagreement, and route it per</w:t>
      </w:r>
      <w:r>
        <w:rPr>
          <w:lang w:val="en"/>
        </w:rPr>
        <w:t xml:space="preserve"> </w:t>
      </w:r>
      <w:hyperlink r:id="rId39">
        <w:r>
          <w:rPr>
            <w:rStyle w:val="Hyperlink"/>
            <w:lang w:val="en"/>
          </w:rPr>
          <w:t xml:space="preserve">resolving disputes</w:t>
        </w:r>
      </w:hyperlink>
      <w:r>
        <w:rPr>
          <w:lang w:val="en"/>
        </w:rPr>
        <w:t xml:space="preserve">.</w:t>
      </w:r>
    </w:p>
    <w:p>
      <w:pPr>
        <w:pStyle w:val="Compact"/>
        <w:numPr>
          <w:ilvl w:val="0"/>
          <w:numId w:val="1009"/>
        </w:numPr>
      </w:pPr>
      <w:r>
        <w:rPr>
          <w:lang w:val="en"/>
        </w:rPr>
        <w:t xml:space="preserve">Gates: list every app with the jurisdiction flag, the consent gate or the audit-scope flag, and send each to counsel (through</w:t>
      </w:r>
      <w:r>
        <w:rPr>
          <w:lang w:val="en"/>
        </w:rPr>
        <w:t xml:space="preserve"> </w:t>
      </w:r>
      <w:hyperlink r:id="rId15">
        <w:r>
          <w:rPr>
            <w:rStyle w:val="Hyperlink"/>
            <w:lang w:val="en"/>
          </w:rPr>
          <w:t xml:space="preserve">the counsel route</w:t>
        </w:r>
      </w:hyperlink>
      <w:r>
        <w:rPr>
          <w:lang w:val="en"/>
        </w:rPr>
        <w:t xml:space="preserve">) or the compliance owner.</w:t>
      </w:r>
    </w:p>
    <w:bookmarkEnd w:id="40"/>
    <w:bookmarkStart w:id="42" w:name="outputs"/>
    <w:p>
      <w:pPr>
        <w:pStyle w:val="Heading2"/>
      </w:pPr>
      <w:r>
        <w:rPr>
          <w:lang w:val="en"/>
        </w:rPr>
        <w:t xml:space="preserve">Outputs</w:t>
      </w:r>
    </w:p>
    <w:p>
      <w:pPr>
        <w:pStyle w:val="Compact"/>
        <w:numPr>
          <w:ilvl w:val="0"/>
          <w:numId w:val="1010"/>
        </w:numPr>
      </w:pPr>
      <w:r>
        <w:rPr>
          <w:lang w:val="en"/>
        </w:rPr>
        <w:t xml:space="preserve">A tier for every app, with its six answers and both flags.</w:t>
      </w:r>
    </w:p>
    <w:p>
      <w:pPr>
        <w:pStyle w:val="Compact"/>
        <w:numPr>
          <w:ilvl w:val="0"/>
          <w:numId w:val="1011"/>
        </w:numPr>
      </w:pPr>
      <w:r>
        <w:rPr>
          <w:lang w:val="en"/>
        </w:rPr>
        <w:t xml:space="preserve">A provisional owner (role) and next action for every app.</w:t>
      </w:r>
    </w:p>
    <w:p>
      <w:pPr>
        <w:pStyle w:val="Compact"/>
        <w:numPr>
          <w:ilvl w:val="0"/>
          <w:numId w:val="1012"/>
        </w:numPr>
      </w:pPr>
      <w:r>
        <w:rPr>
          <w:lang w:val="en"/>
        </w:rPr>
        <w:t xml:space="preserve">A registry load file built from the recording sheet (see the</w:t>
      </w:r>
      <w:r>
        <w:rPr>
          <w:lang w:val="en"/>
        </w:rPr>
        <w:t xml:space="preserve"> </w:t>
      </w:r>
      <w:hyperlink r:id="rId41">
        <w:r>
          <w:rPr>
            <w:rStyle w:val="Hyperlink"/>
            <w:lang w:val="en"/>
          </w:rPr>
          <w:t xml:space="preserve">app registry</w:t>
        </w:r>
      </w:hyperlink>
      <w:r>
        <w:rPr>
          <w:lang w:val="en"/>
        </w:rPr>
        <w:t xml:space="preserve">).</w:t>
      </w:r>
    </w:p>
    <w:p>
      <w:pPr>
        <w:pStyle w:val="Compact"/>
        <w:numPr>
          <w:ilvl w:val="0"/>
          <w:numId w:val="1013"/>
        </w:numPr>
      </w:pPr>
      <w:r>
        <w:rPr>
          <w:lang w:val="en"/>
        </w:rPr>
        <w:t xml:space="preserve">A floor-breach list with owners, as-found answers and fix-by dates.</w:t>
      </w:r>
    </w:p>
    <w:p>
      <w:pPr>
        <w:pStyle w:val="Compact"/>
        <w:numPr>
          <w:ilvl w:val="0"/>
          <w:numId w:val="1014"/>
        </w:numPr>
      </w:pPr>
      <w:r>
        <w:rPr>
          <w:lang w:val="en"/>
        </w:rPr>
        <w:t xml:space="preserve">A data-owner sign-off list: every app with a Q1(c) or (d) answer, and the data owner (role) who must sign off before it registers at Important or Critical.</w:t>
      </w:r>
    </w:p>
    <w:p>
      <w:pPr>
        <w:pStyle w:val="Compact"/>
        <w:numPr>
          <w:ilvl w:val="0"/>
          <w:numId w:val="1015"/>
        </w:numPr>
      </w:pPr>
      <w:r>
        <w:rPr>
          <w:lang w:val="en"/>
        </w:rPr>
        <w:t xml:space="preserve">Routing lists: downgrade requests (including standard downgrade 3 candidates), exception requests, disputes, counsel gates and compliance gates.</w:t>
      </w:r>
    </w:p>
    <w:p>
      <w:pPr>
        <w:pStyle w:val="Compact"/>
        <w:numPr>
          <w:ilvl w:val="0"/>
          <w:numId w:val="1016"/>
        </w:numPr>
      </w:pPr>
      <w:r>
        <w:rPr>
          <w:lang w:val="en"/>
        </w:rPr>
        <w:t xml:space="preserve">A list of Critical apps for the IT/platform owner's graduation planning.</w:t>
      </w:r>
    </w:p>
    <w:bookmarkEnd w:id="42"/>
    <w:bookmarkStart w:id="43" w:name="follow-up"/>
    <w:p>
      <w:pPr>
        <w:pStyle w:val="Heading2"/>
      </w:pPr>
      <w:r>
        <w:rPr>
          <w:lang w:val="en"/>
        </w:rPr>
        <w:t xml:space="preserve">Follow-up</w:t>
      </w:r>
    </w:p>
    <w:p>
      <w:pPr>
        <w:pStyle w:val="FirstParagraph"/>
      </w:pPr>
      <w:r>
        <w:rPr>
          <w:lang w:val="en"/>
        </w:rPr>
        <w:t xml:space="preserve">Within five working days:</w:t>
      </w:r>
    </w:p>
    <w:p>
      <w:pPr>
        <w:pStyle w:val="Compact"/>
        <w:numPr>
          <w:ilvl w:val="0"/>
          <w:numId w:val="1017"/>
        </w:numPr>
      </w:pPr>
      <w:r>
        <w:rPr>
          <w:lang w:val="en"/>
        </w:rPr>
        <w:t xml:space="preserve">Confirm every provisional owner with the owner's manager.</w:t>
      </w:r>
    </w:p>
    <w:p>
      <w:pPr>
        <w:pStyle w:val="Compact"/>
        <w:numPr>
          <w:ilvl w:val="0"/>
          <w:numId w:val="1018"/>
        </w:numPr>
      </w:pPr>
      <w:r>
        <w:rPr>
          <w:lang w:val="en"/>
        </w:rPr>
        <w:t xml:space="preserve">Load the registry and send each "register" app through intake.</w:t>
      </w:r>
    </w:p>
    <w:p>
      <w:pPr>
        <w:pStyle w:val="Compact"/>
        <w:numPr>
          <w:ilvl w:val="0"/>
          <w:numId w:val="1019"/>
        </w:numPr>
      </w:pPr>
      <w:r>
        <w:rPr>
          <w:lang w:val="en"/>
        </w:rPr>
        <w:t xml:space="preserve">Confirm every floor-breach fix by its fix-by date (for Floor 2, with a clean exposure scan); apply the as-found answer to any that aren't fixed.</w:t>
      </w:r>
    </w:p>
    <w:p>
      <w:pPr>
        <w:pStyle w:val="Compact"/>
        <w:numPr>
          <w:ilvl w:val="0"/>
          <w:numId w:val="1020"/>
        </w:numPr>
      </w:pPr>
      <w:r>
        <w:rPr>
          <w:lang w:val="en"/>
        </w:rPr>
        <w:t xml:space="preserve">Send each data-owner sign-off request.</w:t>
      </w:r>
    </w:p>
    <w:p>
      <w:pPr>
        <w:pStyle w:val="Compact"/>
        <w:numPr>
          <w:ilvl w:val="0"/>
          <w:numId w:val="1021"/>
        </w:numPr>
      </w:pPr>
      <w:r>
        <w:rPr>
          <w:lang w:val="en"/>
        </w:rPr>
        <w:t xml:space="preserve">Start retirement for every "retire" app.</w:t>
      </w:r>
    </w:p>
    <w:p>
      <w:pPr>
        <w:pStyle w:val="Compact"/>
        <w:numPr>
          <w:ilvl w:val="0"/>
          <w:numId w:val="1022"/>
        </w:numPr>
      </w:pPr>
      <w:r>
        <w:rPr>
          <w:lang w:val="en"/>
        </w:rPr>
        <w:t xml:space="preserve">Schedule the next session if the batch wasn't finished.</w:t>
      </w:r>
    </w:p>
    <w:bookmarkEnd w:id="43"/>
    <w:bookmarkStart w:id="44" w:name="assumptions-and-evidence"/>
    <w:p>
      <w:pPr>
        <w:pStyle w:val="Heading2"/>
      </w:pPr>
      <w:r>
        <w:rPr>
          <w:lang w:val="en"/>
        </w:rPr>
        <w:t xml:space="preserve">Assumptions and evidence</w:t>
      </w:r>
    </w:p>
    <w:p>
      <w:pPr>
        <w:pStyle w:val="Compact"/>
        <w:numPr>
          <w:ilvl w:val="0"/>
          <w:numId w:val="1023"/>
        </w:numPr>
      </w:pPr>
      <w:r>
        <w:rPr>
          <w:b/>
          <w:bCs/>
          <w:lang w:val="en"/>
        </w:rPr>
        <w:t xml:space="preserve">A-018</w:t>
      </w:r>
      <w:r>
        <w:rPr>
          <w:lang w:val="en"/>
        </w:rPr>
        <w:t xml:space="preserve"> </w:t>
      </w:r>
      <w:r>
        <w:rPr>
          <w:lang w:val="en"/>
        </w:rPr>
        <w:t xml:space="preserve">(Medium): we expect four tiers set by the highest of six answers to be enough to route support, review and graduation for discovered apps; test this by counting apps the room couldn't place, and disputes per session.</w:t>
      </w:r>
    </w:p>
    <w:p>
      <w:pPr>
        <w:pStyle w:val="Compact"/>
        <w:numPr>
          <w:ilvl w:val="0"/>
          <w:numId w:val="1023"/>
        </w:numPr>
      </w:pPr>
      <w:r>
        <w:rPr>
          <w:b/>
          <w:bCs/>
          <w:lang w:val="en"/>
        </w:rPr>
        <w:t xml:space="preserve">A-045</w:t>
      </w:r>
      <w:r>
        <w:rPr>
          <w:lang w:val="en"/>
        </w:rPr>
        <w:t xml:space="preserve"> </w:t>
      </w:r>
      <w:r>
        <w:rPr>
          <w:lang w:val="en"/>
        </w:rPr>
        <w:t xml:space="preserve">(Low): we expect 35% or less of registered apps to land in Important or above; test this by reporting the tier mix of each workshop batch.</w:t>
      </w:r>
    </w:p>
    <w:p>
      <w:pPr>
        <w:pStyle w:val="FirstParagraph"/>
      </w:pPr>
      <w:r>
        <w:rPr>
          <w:lang w:val="en"/>
        </w:rPr>
        <w:t xml:space="preserve">Evidence: published government policy with any-of tier triggers</w:t>
      </w:r>
      <w:hyperlink w:anchor="fn:sask">
        <w:r>
          <w:rPr>
            <w:rStyle w:val="Hyperlink"/>
            <w:vertAlign w:val="superscript"/>
            <w:lang w:val="en"/>
          </w:rPr>
          <w:t xml:space="preserve">3</w:t>
        </w:r>
      </w:hyperlink>
      <w:r>
        <w:rPr>
          <w:lang w:val="en"/>
        </w:rPr>
        <w:t xml:space="preserve">, security-agency guidance and a durable federal standard; no controlled study of triage workshops for worker-built apps. The 3–4 minutes per app is a planning estimate, not a measurement; time your first session. Facts on this page are as of October 2026.</w:t>
      </w:r>
    </w:p>
    <w:bookmarkEnd w:id="44"/>
    <w:bookmarkStart w:id="52" w:name="related"/>
    <w:p>
      <w:pPr>
        <w:pStyle w:val="Heading2"/>
      </w:pPr>
      <w:r>
        <w:rPr>
          <w:lang w:val="en"/>
        </w:rPr>
        <w:t xml:space="preserve">Related</w:t>
      </w:r>
    </w:p>
    <w:p>
      <w:pPr>
        <w:pStyle w:val="Compact"/>
        <w:numPr>
          <w:ilvl w:val="0"/>
          <w:numId w:val="1024"/>
        </w:numPr>
      </w:pPr>
      <w:hyperlink r:id="rId10">
        <w:r>
          <w:rPr>
            <w:rStyle w:val="Hyperlink"/>
            <w:lang w:val="en"/>
          </w:rPr>
          <w:t xml:space="preserve">Risk tiers for worker-built apps</w:t>
        </w:r>
      </w:hyperlink>
      <w:r>
        <w:rPr>
          <w:lang w:val="en"/>
        </w:rPr>
        <w:t xml:space="preserve">: the full model and the gate matrix.</w:t>
      </w:r>
    </w:p>
    <w:p>
      <w:pPr>
        <w:pStyle w:val="Compact"/>
        <w:numPr>
          <w:ilvl w:val="0"/>
          <w:numId w:val="1024"/>
        </w:numPr>
      </w:pPr>
      <w:hyperlink r:id="rId41">
        <w:r>
          <w:rPr>
            <w:rStyle w:val="Hyperlink"/>
            <w:lang w:val="en"/>
          </w:rPr>
          <w:t xml:space="preserve">App registry</w:t>
        </w:r>
      </w:hyperlink>
      <w:r>
        <w:rPr>
          <w:lang w:val="en"/>
        </w:rPr>
        <w:t xml:space="preserve">: where the workshop's outputs go.</w:t>
      </w:r>
    </w:p>
    <w:p>
      <w:pPr>
        <w:pStyle w:val="Compact"/>
        <w:numPr>
          <w:ilvl w:val="0"/>
          <w:numId w:val="1024"/>
        </w:numPr>
      </w:pPr>
      <w:hyperlink r:id="rId11">
        <w:r>
          <w:rPr>
            <w:rStyle w:val="Hyperlink"/>
            <w:lang w:val="en"/>
          </w:rPr>
          <w:t xml:space="preserve">Find the apps your staff already built</w:t>
        </w:r>
      </w:hyperlink>
      <w:r>
        <w:rPr>
          <w:lang w:val="en"/>
        </w:rPr>
        <w:t xml:space="preserve">: how to build the input list.</w:t>
      </w:r>
    </w:p>
    <w:p>
      <w:pPr>
        <w:pStyle w:val="Compact"/>
        <w:numPr>
          <w:ilvl w:val="0"/>
          <w:numId w:val="1024"/>
        </w:numPr>
      </w:pPr>
      <w:hyperlink r:id="rId34">
        <w:r>
          <w:rPr>
            <w:rStyle w:val="Hyperlink"/>
            <w:lang w:val="en"/>
          </w:rPr>
          <w:t xml:space="preserve">Get a worker-built app approved</w:t>
        </w:r>
      </w:hyperlink>
      <w:r>
        <w:rPr>
          <w:lang w:val="en"/>
        </w:rPr>
        <w:t xml:space="preserve">: the intake each registered app goes through next.</w:t>
      </w:r>
    </w:p>
    <w:p>
      <w:r>
        <w:pict>
          <v:rect style="width:0;height:1.5pt" o:hralign="center" o:hrstd="t" o:hr="t"/>
        </w:pict>
      </w:r>
    </w:p>
    <w:bookmarkStart w:id="46" w:name="fn:fips199"/>
    <w:p>
      <w:pPr>
        <w:numPr>
          <w:ilvl w:val="0"/>
          <w:numId w:val="1025"/>
        </w:numPr>
      </w:pPr>
      <w:r>
        <w:rPr>
          <w:lang w:val="en"/>
        </w:rPr>
        <w:t xml:space="preserve">NIST, "FIPS 199: Standards for Security Categorization of Federal Information and Information Systems", Feb 2004, section 3 (high-water mark).</w:t>
      </w:r>
      <w:r>
        <w:rPr>
          <w:lang w:val="en"/>
        </w:rPr>
        <w:t xml:space="preserve"> </w:t>
      </w:r>
      <w:hyperlink r:id="rId45">
        <w:r>
          <w:rPr>
            <w:rStyle w:val="Hyperlink"/>
            <w:lang w:val="en"/>
          </w:rPr>
          <w:t xml:space="preserve">https://nvlpubs.nist.gov/nistpubs/FIPS/NIST.FIPS.199.pdf</w:t>
        </w:r>
      </w:hyperlink>
      <w:r>
        <w:rPr>
          <w:lang w:val="en"/>
        </w:rPr>
        <w:t xml:space="preserve"> </w:t>
      </w:r>
      <w:r>
        <w:rPr>
          <w:lang w:val="en"/>
        </w:rPr>
        <w:t xml:space="preserve">[primary], accessed 2026-10-21.</w:t>
      </w:r>
    </w:p>
    <w:bookmarkEnd w:id="46"/>
    <w:bookmarkStart w:id="48" w:name="fn:ncsc"/>
    <w:p>
      <w:pPr>
        <w:numPr>
          <w:ilvl w:val="0"/>
          <w:numId w:val="1025"/>
        </w:numPr>
      </w:pPr>
      <w:r>
        <w:rPr>
          <w:lang w:val="en"/>
        </w:rPr>
        <w:t xml:space="preserve">UK National Cyber Security Centre, blog post on the "vibe coding spectrum" approach to AI-assisted software development, 18 Jun 2026.</w:t>
      </w:r>
      <w:r>
        <w:rPr>
          <w:lang w:val="en"/>
        </w:rPr>
        <w:t xml:space="preserve"> </w:t>
      </w:r>
      <w:hyperlink r:id="rId47">
        <w:r>
          <w:rPr>
            <w:rStyle w:val="Hyperlink"/>
            <w:lang w:val="en"/>
          </w:rPr>
          <w:t xml:space="preserve">https://www.ncsc.gov.uk/blogs/the-vibe-coding-spectrum-approach-to-ai-assisted-software-development</w:t>
        </w:r>
      </w:hyperlink>
      <w:r>
        <w:rPr>
          <w:lang w:val="en"/>
        </w:rPr>
        <w:t xml:space="preserve"> </w:t>
      </w:r>
      <w:r>
        <w:rPr>
          <w:lang w:val="en"/>
        </w:rPr>
        <w:t xml:space="preserve">[regulator], accessed 2026-10-21.</w:t>
      </w:r>
    </w:p>
    <w:bookmarkEnd w:id="48"/>
    <w:bookmarkStart w:id="50" w:name="fn:sask"/>
    <w:p>
      <w:pPr>
        <w:numPr>
          <w:ilvl w:val="0"/>
          <w:numId w:val="1025"/>
        </w:numPr>
      </w:pPr>
      <w:r>
        <w:rPr>
          <w:lang w:val="en"/>
        </w:rPr>
        <w:t xml:space="preserve">Government of Saskatchewan, "Low-Code/No-Code Development and Maintenance Policy", May 2026.</w:t>
      </w:r>
      <w:r>
        <w:rPr>
          <w:lang w:val="en"/>
        </w:rPr>
        <w:t xml:space="preserve"> </w:t>
      </w:r>
      <w:hyperlink r:id="rId49">
        <w:r>
          <w:rPr>
            <w:rStyle w:val="Hyperlink"/>
            <w:lang w:val="en"/>
          </w:rPr>
          <w:t xml:space="preserve">https://taskroom.saskatchewan.ca/-/media/project/taskroom/documents/policy/lowcodenocodedevelopmentandmaintenancepolicy.pdf</w:t>
        </w:r>
      </w:hyperlink>
      <w:r>
        <w:rPr>
          <w:lang w:val="en"/>
        </w:rPr>
        <w:t xml:space="preserve"> </w:t>
      </w:r>
      <w:r>
        <w:rPr>
          <w:lang w:val="en"/>
        </w:rPr>
        <w:t xml:space="preserve">[primary], accessed 2026-10-21.</w:t>
      </w:r>
    </w:p>
    <w:bookmarkEnd w:id="50"/>
    <w:p>
      <w:pPr>
        <w:pStyle w:val="FirstParagraph"/>
      </w:pPr>
      <w:r>
        <w:rPr>
          <w:lang w:val="en"/>
        </w:rPr>
        <w:t xml:space="preserve">Prompt to Prototype, Risk tier workshop for existing apps,</w:t>
      </w:r>
      <w:r>
        <w:rPr>
          <w:lang w:val="en"/>
        </w:rPr>
        <w:t xml:space="preserve"> </w:t>
      </w:r>
      <w:hyperlink r:id="rId9">
        <w:r>
          <w:rPr>
            <w:rStyle w:val="Hyperlink"/>
            <w:lang w:val="en"/>
          </w:rPr>
          <w:t xml:space="preserve">https://prompt-to-prototype.com/worksheets/risk-classification-workshop/</w:t>
        </w:r>
      </w:hyperlink>
      <w:r>
        <w:rPr>
          <w:lang w:val="en"/>
        </w:rPr>
        <w:t xml:space="preserve">, as of 2026-10-22. Licensed</w:t>
      </w:r>
      <w:r>
        <w:rPr>
          <w:lang w:val="en"/>
        </w:rPr>
        <w:t xml:space="preserve"> </w:t>
      </w:r>
      <w:hyperlink r:id="rId51">
        <w:r>
          <w:rPr>
            <w:rStyle w:val="Hyperlink"/>
            <w:lang w:val="en"/>
          </w:rPr>
          <w:t xml:space="preserve">CC BY-SA 4.0</w:t>
        </w:r>
      </w:hyperlink>
      <w:r>
        <w:rPr>
          <w:lang w:val="en"/>
        </w:rPr>
        <w:t xml:space="preserve">.</w:t>
      </w:r>
    </w:p>
    <w:bookmarkEnd w:id="52"/>
    <w:bookmarkEnd w:id="5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2">
    <w:nsid w:val="0000A992"/>
    <w:multiLevelType w:val="multilevel"/>
    <w:lvl w:ilvl="0">
      <w:numFmt w:val="bullet"/>
      <w:lvlText w:val="☐"/>
      <w:lvlJc w:val="left"/>
      <w:pPr>
        <w:ind w:left="720" w:hanging="360"/>
      </w:pPr>
    </w:lvl>
    <w:lvl w:ilvl="1">
      <w:numFmt w:val="bullet"/>
      <w:lvlText w:val="☐"/>
      <w:lvlJc w:val="left"/>
      <w:pPr>
        <w:ind w:left="1440" w:hanging="360"/>
      </w:pPr>
    </w:lvl>
    <w:lvl w:ilvl="2">
      <w:numFmt w:val="bullet"/>
      <w:lvlText w:val="☐"/>
      <w:lvlJc w:val="left"/>
      <w:pPr>
        <w:ind w:left="2160" w:hanging="360"/>
      </w:pPr>
    </w:lvl>
    <w:lvl w:ilvl="3">
      <w:numFmt w:val="bullet"/>
      <w:lvlText w:val="☐"/>
      <w:lvlJc w:val="left"/>
      <w:pPr>
        <w:ind w:left="2880" w:hanging="360"/>
      </w:pPr>
    </w:lvl>
    <w:lvl w:ilvl="4">
      <w:numFmt w:val="bullet"/>
      <w:lvlText w:val="☐"/>
      <w:lvlJc w:val="left"/>
      <w:pPr>
        <w:ind w:left="3600" w:hanging="360"/>
      </w:pPr>
    </w:lvl>
    <w:lvl w:ilvl="5">
      <w:numFmt w:val="bullet"/>
      <w:lvlText w:val="☐"/>
      <w:lvlJc w:val="left"/>
      <w:pPr>
        <w:ind w:left="4320" w:hanging="360"/>
      </w:pPr>
    </w:lvl>
    <w:lvl w:ilvl="6">
      <w:numFmt w:val="bullet"/>
      <w:lvlText w:val="☐"/>
      <w:lvlJc w:val="left"/>
      <w:pPr>
        <w:ind w:left="5040" w:hanging="360"/>
      </w:pPr>
    </w:lvl>
    <w:lvl w:ilvl="7">
      <w:numFmt w:val="bullet"/>
      <w:lvlText w:val="☐"/>
      <w:lvlJc w:val="left"/>
      <w:pPr>
        <w:ind w:left="5760" w:hanging="360"/>
      </w:pPr>
    </w:lvl>
    <w:lvl w:ilvl="8">
      <w:numFmt w:val="bullet"/>
      <w:lvlText w:val="☐"/>
      <w:lvlJc w:val="left"/>
      <w:pPr>
        <w:ind w:left="6480" w:hanging="360"/>
      </w:pPr>
    </w:lvl>
  </w:abstractNum>
  <w:abstractNum w:abstractNumId="99201">
    <w:nsid w:val="00A99201"/>
    <w:multiLevelType w:val="multilevel"/>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2"/>
  </w:num>
  <w:num w:numId="1002">
    <w:abstractNumId w:val="992"/>
  </w:num>
  <w:num w:numId="1003">
    <w:abstractNumId w:val="992"/>
  </w:num>
  <w:num w:numId="1004">
    <w:abstractNumId w:val="992"/>
  </w:num>
  <w:num w:numId="1005">
    <w:abstractNumId w:val="992"/>
  </w:num>
  <w:num w:numId="1006">
    <w:abstractNumId w:val="992"/>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 w:numId="1010">
    <w:abstractNumId w:val="992"/>
  </w:num>
  <w:num w:numId="1011">
    <w:abstractNumId w:val="992"/>
  </w:num>
  <w:num w:numId="1012">
    <w:abstractNumId w:val="992"/>
  </w:num>
  <w:num w:numId="1013">
    <w:abstractNumId w:val="992"/>
  </w:num>
  <w:num w:numId="1014">
    <w:abstractNumId w:val="992"/>
  </w:num>
  <w:num w:numId="1015">
    <w:abstractNumId w:val="992"/>
  </w:num>
  <w:num w:numId="1016">
    <w:abstractNumId w:val="992"/>
  </w:num>
  <w:num w:numId="1017">
    <w:abstractNumId w:val="992"/>
  </w:num>
  <w:num w:numId="1018">
    <w:abstractNumId w:val="992"/>
  </w:num>
  <w:num w:numId="1019">
    <w:abstractNumId w:val="992"/>
  </w:num>
  <w:num w:numId="1020">
    <w:abstractNumId w:val="992"/>
  </w:num>
  <w:num w:numId="1021">
    <w:abstractNumId w:val="992"/>
  </w:num>
  <w:num w:numId="1022">
    <w:abstractNumId w:val="992"/>
  </w:num>
  <w:num w:numId="1023">
    <w:abstractNumId w:val="991"/>
  </w:num>
  <w:num w:numId="1024">
    <w:abstractNumId w:val="991"/>
  </w:num>
  <w:num w:numId="102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51" Target="https://creativecommons.org/licenses/by-sa/4.0/" TargetMode="External" /><Relationship Type="http://schemas.openxmlformats.org/officeDocument/2006/relationships/hyperlink" Id="rId45" Target="https://nvlpubs.nist.gov/nistpubs/FIPS/NIST.FIPS.199.pdf" TargetMode="External" /><Relationship Type="http://schemas.openxmlformats.org/officeDocument/2006/relationships/hyperlink" Id="rId34" Target="https://prompt-to-prototype.com/lifecycle/intake/" TargetMode="External" /><Relationship Type="http://schemas.openxmlformats.org/officeDocument/2006/relationships/hyperlink" Id="rId13" Target="https://prompt-to-prototype.com/lifecycle/intake/#part-2-the-six-tier-questions-and-two-flags" TargetMode="External" /><Relationship Type="http://schemas.openxmlformats.org/officeDocument/2006/relationships/hyperlink" Id="rId35" Target="https://prompt-to-prototype.com/lifecycle/retire/" TargetMode="External" /><Relationship Type="http://schemas.openxmlformats.org/officeDocument/2006/relationships/hyperlink" Id="rId41" Target="https://prompt-to-prototype.com/operating-model/app-registry/" TargetMode="External" /><Relationship Type="http://schemas.openxmlformats.org/officeDocument/2006/relationships/hyperlink" Id="rId10" Target="https://prompt-to-prototype.com/operating-model/risk-tiers/" TargetMode="External" /><Relationship Type="http://schemas.openxmlformats.org/officeDocument/2006/relationships/hyperlink" Id="rId38" Target="https://prompt-to-prototype.com/operating-model/risk-tiers/#bounded-exceptions" TargetMode="External" /><Relationship Type="http://schemas.openxmlformats.org/officeDocument/2006/relationships/hyperlink" Id="rId26" Target="https://prompt-to-prototype.com/operating-model/risk-tiers/#meaningful-human-review" TargetMode="External" /><Relationship Type="http://schemas.openxmlformats.org/officeDocument/2006/relationships/hyperlink" Id="rId21" Target="https://prompt-to-prototype.com/operating-model/risk-tiers/#q1-data" TargetMode="External" /><Relationship Type="http://schemas.openxmlformats.org/officeDocument/2006/relationships/hyperlink" Id="rId22" Target="https://prompt-to-prototype.com/operating-model/risk-tiers/#q2-users" TargetMode="External" /><Relationship Type="http://schemas.openxmlformats.org/officeDocument/2006/relationships/hyperlink" Id="rId23" Target="https://prompt-to-prototype.com/operating-model/risk-tiers/#q3-reach" TargetMode="External" /><Relationship Type="http://schemas.openxmlformats.org/officeDocument/2006/relationships/hyperlink" Id="rId24" Target="https://prompt-to-prototype.com/operating-model/risk-tiers/#q4-dependence" TargetMode="External" /><Relationship Type="http://schemas.openxmlformats.org/officeDocument/2006/relationships/hyperlink" Id="rId25" Target="https://prompt-to-prototype.com/operating-model/risk-tiers/#q5-decisions-about-people" TargetMode="External" /><Relationship Type="http://schemas.openxmlformats.org/officeDocument/2006/relationships/hyperlink" Id="rId27" Target="https://prompt-to-prototype.com/operating-model/risk-tiers/#q6-actions" TargetMode="External" /><Relationship Type="http://schemas.openxmlformats.org/officeDocument/2006/relationships/hyperlink" Id="rId39" Target="https://prompt-to-prototype.com/operating-model/risk-tiers/#resolving-disputes" TargetMode="External" /><Relationship Type="http://schemas.openxmlformats.org/officeDocument/2006/relationships/hyperlink" Id="rId29" Target="https://prompt-to-prototype.com/operating-model/risk-tiers/#the-ai-modifiers" TargetMode="External" /><Relationship Type="http://schemas.openxmlformats.org/officeDocument/2006/relationships/hyperlink" Id="rId28" Target="https://prompt-to-prototype.com/operating-model/risk-tiers/#the-audit-scope-flag" TargetMode="External" /><Relationship Type="http://schemas.openxmlformats.org/officeDocument/2006/relationships/hyperlink" Id="rId37" Target="https://prompt-to-prototype.com/operating-model/risk-tiers/#the-downgrade-path-owner-signed-and-documented" TargetMode="External" /><Relationship Type="http://schemas.openxmlformats.org/officeDocument/2006/relationships/hyperlink" Id="rId30" Target="https://prompt-to-prototype.com/operating-model/risk-tiers/#the-floor-breach-rule" TargetMode="External" /><Relationship Type="http://schemas.openxmlformats.org/officeDocument/2006/relationships/hyperlink" Id="rId12" Target="https://prompt-to-prototype.com/operating-model/risk-tiers/#the-six-tier-questions" TargetMode="External" /><Relationship Type="http://schemas.openxmlformats.org/officeDocument/2006/relationships/hyperlink" Id="rId16" Target="https://prompt-to-prototype.com/operating-model/risk-tiers/#worked-test-cases" TargetMode="External" /><Relationship Type="http://schemas.openxmlformats.org/officeDocument/2006/relationships/hyperlink" Id="rId15" Target="https://prompt-to-prototype.com/operating-model/roles-and-decision-rights/#the-counsel-route" TargetMode="External" /><Relationship Type="http://schemas.openxmlformats.org/officeDocument/2006/relationships/hyperlink" Id="rId18" Target="https://prompt-to-prototype.com/operating-model/roles-and-decision-rights/#when-one-person-holds-several-roles" TargetMode="External" /><Relationship Type="http://schemas.openxmlformats.org/officeDocument/2006/relationships/hyperlink" Id="rId14" Target="https://prompt-to-prototype.com/platform/approve-tools/" TargetMode="External" /><Relationship Type="http://schemas.openxmlformats.org/officeDocument/2006/relationships/hyperlink" Id="rId11" Target="https://prompt-to-prototype.com/roadmap/find-existing-apps/" TargetMode="External" /><Relationship Type="http://schemas.openxmlformats.org/officeDocument/2006/relationships/hyperlink" Id="rId9" Target="https://prompt-to-prototype.com/worksheets/risk-classification-workshop/" TargetMode="External" /><Relationship Type="http://schemas.openxmlformats.org/officeDocument/2006/relationships/hyperlink" Id="rId49" Target="https://taskroom.saskatchewan.ca/-/media/project/taskroom/documents/policy/lowcodenocodedevelopmentandmaintenancepolicy.pdf" TargetMode="External" /><Relationship Type="http://schemas.openxmlformats.org/officeDocument/2006/relationships/hyperlink" Id="rId47" Target="https://www.ncsc.gov.uk/blogs/the-vibe-coding-spectrum-approach-to-ai-assisted-software-development" TargetMode="External" /></Relationships>
</file>

<file path=word/_rels/footnotes.xml.rels><?xml version="1.0" encoding="UTF-8"?><Relationships xmlns="http://schemas.openxmlformats.org/package/2006/relationships"><Relationship Type="http://schemas.openxmlformats.org/officeDocument/2006/relationships/hyperlink" Id="rId51" Target="https://creativecommons.org/licenses/by-sa/4.0/" TargetMode="External" /><Relationship Type="http://schemas.openxmlformats.org/officeDocument/2006/relationships/hyperlink" Id="rId45" Target="https://nvlpubs.nist.gov/nistpubs/FIPS/NIST.FIPS.199.pdf" TargetMode="External" /><Relationship Type="http://schemas.openxmlformats.org/officeDocument/2006/relationships/hyperlink" Id="rId34" Target="https://prompt-to-prototype.com/lifecycle/intake/" TargetMode="External" /><Relationship Type="http://schemas.openxmlformats.org/officeDocument/2006/relationships/hyperlink" Id="rId13" Target="https://prompt-to-prototype.com/lifecycle/intake/#part-2-the-six-tier-questions-and-two-flags" TargetMode="External" /><Relationship Type="http://schemas.openxmlformats.org/officeDocument/2006/relationships/hyperlink" Id="rId35" Target="https://prompt-to-prototype.com/lifecycle/retire/" TargetMode="External" /><Relationship Type="http://schemas.openxmlformats.org/officeDocument/2006/relationships/hyperlink" Id="rId41" Target="https://prompt-to-prototype.com/operating-model/app-registry/" TargetMode="External" /><Relationship Type="http://schemas.openxmlformats.org/officeDocument/2006/relationships/hyperlink" Id="rId10" Target="https://prompt-to-prototype.com/operating-model/risk-tiers/" TargetMode="External" /><Relationship Type="http://schemas.openxmlformats.org/officeDocument/2006/relationships/hyperlink" Id="rId38" Target="https://prompt-to-prototype.com/operating-model/risk-tiers/#bounded-exceptions" TargetMode="External" /><Relationship Type="http://schemas.openxmlformats.org/officeDocument/2006/relationships/hyperlink" Id="rId26" Target="https://prompt-to-prototype.com/operating-model/risk-tiers/#meaningful-human-review" TargetMode="External" /><Relationship Type="http://schemas.openxmlformats.org/officeDocument/2006/relationships/hyperlink" Id="rId21" Target="https://prompt-to-prototype.com/operating-model/risk-tiers/#q1-data" TargetMode="External" /><Relationship Type="http://schemas.openxmlformats.org/officeDocument/2006/relationships/hyperlink" Id="rId22" Target="https://prompt-to-prototype.com/operating-model/risk-tiers/#q2-users" TargetMode="External" /><Relationship Type="http://schemas.openxmlformats.org/officeDocument/2006/relationships/hyperlink" Id="rId23" Target="https://prompt-to-prototype.com/operating-model/risk-tiers/#q3-reach" TargetMode="External" /><Relationship Type="http://schemas.openxmlformats.org/officeDocument/2006/relationships/hyperlink" Id="rId24" Target="https://prompt-to-prototype.com/operating-model/risk-tiers/#q4-dependence" TargetMode="External" /><Relationship Type="http://schemas.openxmlformats.org/officeDocument/2006/relationships/hyperlink" Id="rId25" Target="https://prompt-to-prototype.com/operating-model/risk-tiers/#q5-decisions-about-people" TargetMode="External" /><Relationship Type="http://schemas.openxmlformats.org/officeDocument/2006/relationships/hyperlink" Id="rId27" Target="https://prompt-to-prototype.com/operating-model/risk-tiers/#q6-actions" TargetMode="External" /><Relationship Type="http://schemas.openxmlformats.org/officeDocument/2006/relationships/hyperlink" Id="rId39" Target="https://prompt-to-prototype.com/operating-model/risk-tiers/#resolving-disputes" TargetMode="External" /><Relationship Type="http://schemas.openxmlformats.org/officeDocument/2006/relationships/hyperlink" Id="rId29" Target="https://prompt-to-prototype.com/operating-model/risk-tiers/#the-ai-modifiers" TargetMode="External" /><Relationship Type="http://schemas.openxmlformats.org/officeDocument/2006/relationships/hyperlink" Id="rId28" Target="https://prompt-to-prototype.com/operating-model/risk-tiers/#the-audit-scope-flag" TargetMode="External" /><Relationship Type="http://schemas.openxmlformats.org/officeDocument/2006/relationships/hyperlink" Id="rId37" Target="https://prompt-to-prototype.com/operating-model/risk-tiers/#the-downgrade-path-owner-signed-and-documented" TargetMode="External" /><Relationship Type="http://schemas.openxmlformats.org/officeDocument/2006/relationships/hyperlink" Id="rId30" Target="https://prompt-to-prototype.com/operating-model/risk-tiers/#the-floor-breach-rule" TargetMode="External" /><Relationship Type="http://schemas.openxmlformats.org/officeDocument/2006/relationships/hyperlink" Id="rId12" Target="https://prompt-to-prototype.com/operating-model/risk-tiers/#the-six-tier-questions" TargetMode="External" /><Relationship Type="http://schemas.openxmlformats.org/officeDocument/2006/relationships/hyperlink" Id="rId16" Target="https://prompt-to-prototype.com/operating-model/risk-tiers/#worked-test-cases" TargetMode="External" /><Relationship Type="http://schemas.openxmlformats.org/officeDocument/2006/relationships/hyperlink" Id="rId15" Target="https://prompt-to-prototype.com/operating-model/roles-and-decision-rights/#the-counsel-route" TargetMode="External" /><Relationship Type="http://schemas.openxmlformats.org/officeDocument/2006/relationships/hyperlink" Id="rId18" Target="https://prompt-to-prototype.com/operating-model/roles-and-decision-rights/#when-one-person-holds-several-roles" TargetMode="External" /><Relationship Type="http://schemas.openxmlformats.org/officeDocument/2006/relationships/hyperlink" Id="rId14" Target="https://prompt-to-prototype.com/platform/approve-tools/" TargetMode="External" /><Relationship Type="http://schemas.openxmlformats.org/officeDocument/2006/relationships/hyperlink" Id="rId11" Target="https://prompt-to-prototype.com/roadmap/find-existing-apps/" TargetMode="External" /><Relationship Type="http://schemas.openxmlformats.org/officeDocument/2006/relationships/hyperlink" Id="rId9" Target="https://prompt-to-prototype.com/worksheets/risk-classification-workshop/" TargetMode="External" /><Relationship Type="http://schemas.openxmlformats.org/officeDocument/2006/relationships/hyperlink" Id="rId49" Target="https://taskroom.saskatchewan.ca/-/media/project/taskroom/documents/policy/lowcodenocodedevelopmentandmaintenancepolicy.pdf" TargetMode="External" /><Relationship Type="http://schemas.openxmlformats.org/officeDocument/2006/relationships/hyperlink" Id="rId47" Target="https://www.ncsc.gov.uk/blogs/the-vibe-coding-spectrum-approach-to-ai-assisted-software-development"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0</TotalTime>
  <ScaleCrop>false</ScaleCrop>
  <Characters>475</Characters>
  <Paragraphs>8</Paragraphs>
  <Pages>1</Pages>
  <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Risk tier workshop for existing apps</dc:title>
  <dc:subject>A 90-minute session to sort discovered, existing worker-built apps into risk tiers, assign owners and fill the registry, with agenda and outputs.</dc:subject>
  <dc:creator>Prompt to Prototype</dc:creator>
  <cp:keywords/>
  <dc:description>https://prompt-to-prototype.com/worksheets/risk-classification-workshop/ Licensed CC BY-SA 4.0.</dc:description>
  <cp:lastModifiedBy/>
  <dcterms:created xsi:type="dcterms:W3CDTF">2026-10-22T00:00:00Z</dcterms:created>
  <dcterms:modified xsi:type="dcterms:W3CDTF">2026-10-22T00:00:00Z</dcterms:modified>
</cp:coreProperties>
</file>

<file path=docProps/custom.xml><?xml version="1.0" encoding="utf-8"?>
<Properties xmlns="http://schemas.openxmlformats.org/officeDocument/2006/custom-properties" xmlns:vt="http://schemas.openxmlformats.org/officeDocument/2006/docPropsVTypes"/>
</file>